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DCE4" w14:textId="51BCBF2F" w:rsidR="00DB6549" w:rsidRDefault="004F7E97">
      <w:pPr>
        <w:pStyle w:val="BodyText"/>
        <w:rPr>
          <w:rFonts w:ascii="Times New Roman"/>
          <w:sz w:val="20"/>
        </w:rPr>
      </w:pPr>
      <w:r>
        <w:rPr>
          <w:noProof/>
        </w:rPr>
        <w:drawing>
          <wp:anchor distT="0" distB="0" distL="114300" distR="114300" simplePos="0" relativeHeight="251659264" behindDoc="1" locked="0" layoutInCell="1" allowOverlap="1" wp14:anchorId="50FF60DD" wp14:editId="7033F040">
            <wp:simplePos x="0" y="0"/>
            <wp:positionH relativeFrom="margin">
              <wp:posOffset>0</wp:posOffset>
            </wp:positionH>
            <wp:positionV relativeFrom="paragraph">
              <wp:posOffset>147320</wp:posOffset>
            </wp:positionV>
            <wp:extent cx="3498215" cy="549275"/>
            <wp:effectExtent l="0" t="0" r="6985" b="3175"/>
            <wp:wrapTight wrapText="bothSides">
              <wp:wrapPolygon edited="0">
                <wp:start x="0" y="0"/>
                <wp:lineTo x="0" y="20976"/>
                <wp:lineTo x="21526" y="20976"/>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21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8DCE5" w14:textId="77777777" w:rsidR="00DB6549" w:rsidRDefault="00DB6549">
      <w:pPr>
        <w:pStyle w:val="BodyText"/>
        <w:rPr>
          <w:rFonts w:ascii="Times New Roman"/>
          <w:sz w:val="20"/>
        </w:rPr>
      </w:pPr>
    </w:p>
    <w:p w14:paraId="5EA8DCE6" w14:textId="77777777" w:rsidR="00DB6549" w:rsidRDefault="00DB6549">
      <w:pPr>
        <w:pStyle w:val="BodyText"/>
        <w:rPr>
          <w:rFonts w:ascii="Times New Roman"/>
          <w:sz w:val="20"/>
        </w:rPr>
      </w:pPr>
    </w:p>
    <w:p w14:paraId="5EA8DCE7" w14:textId="77777777" w:rsidR="00DB6549" w:rsidRDefault="00DB6549">
      <w:pPr>
        <w:pStyle w:val="BodyText"/>
        <w:rPr>
          <w:rFonts w:ascii="Times New Roman"/>
          <w:sz w:val="20"/>
        </w:rPr>
      </w:pPr>
    </w:p>
    <w:p w14:paraId="5EA8DCE8" w14:textId="77777777" w:rsidR="00DB6549" w:rsidRDefault="00DB6549">
      <w:pPr>
        <w:pStyle w:val="BodyText"/>
        <w:rPr>
          <w:rFonts w:ascii="Times New Roman"/>
          <w:sz w:val="20"/>
        </w:rPr>
      </w:pPr>
    </w:p>
    <w:p w14:paraId="498A0ECB" w14:textId="77777777" w:rsidR="004F7E97" w:rsidRDefault="004F7E97">
      <w:pPr>
        <w:spacing w:before="221"/>
        <w:ind w:left="102"/>
        <w:rPr>
          <w:b/>
          <w:sz w:val="24"/>
        </w:rPr>
      </w:pPr>
    </w:p>
    <w:p w14:paraId="5EA8DCE9" w14:textId="1394ABA8" w:rsidR="00DB6549" w:rsidRDefault="009C05A6">
      <w:pPr>
        <w:spacing w:before="221"/>
        <w:ind w:left="102"/>
        <w:rPr>
          <w:b/>
          <w:sz w:val="24"/>
        </w:rPr>
      </w:pPr>
      <w:r>
        <w:rPr>
          <w:b/>
          <w:sz w:val="24"/>
        </w:rPr>
        <w:t>CITY</w:t>
      </w:r>
      <w:r>
        <w:rPr>
          <w:b/>
          <w:spacing w:val="-3"/>
          <w:sz w:val="24"/>
        </w:rPr>
        <w:t xml:space="preserve"> </w:t>
      </w:r>
      <w:r>
        <w:rPr>
          <w:b/>
          <w:sz w:val="24"/>
        </w:rPr>
        <w:t>OF</w:t>
      </w:r>
      <w:r>
        <w:rPr>
          <w:b/>
          <w:spacing w:val="-1"/>
          <w:sz w:val="24"/>
        </w:rPr>
        <w:t xml:space="preserve"> </w:t>
      </w:r>
      <w:r>
        <w:rPr>
          <w:b/>
          <w:sz w:val="24"/>
        </w:rPr>
        <w:t>SYDNEY</w:t>
      </w:r>
    </w:p>
    <w:p w14:paraId="5EA8DCEA" w14:textId="77777777" w:rsidR="00DB6549" w:rsidRDefault="00DB6549">
      <w:pPr>
        <w:pStyle w:val="BodyText"/>
        <w:rPr>
          <w:b/>
          <w:sz w:val="24"/>
        </w:rPr>
      </w:pPr>
    </w:p>
    <w:p w14:paraId="08E8ECBD" w14:textId="1E237E0D" w:rsidR="00AD624C" w:rsidRDefault="00AD624C">
      <w:pPr>
        <w:spacing w:line="480" w:lineRule="auto"/>
        <w:ind w:left="102" w:right="1307"/>
        <w:rPr>
          <w:b/>
          <w:sz w:val="24"/>
        </w:rPr>
      </w:pPr>
      <w:r>
        <w:rPr>
          <w:b/>
          <w:sz w:val="24"/>
        </w:rPr>
        <w:t xml:space="preserve">HOUSING </w:t>
      </w:r>
      <w:r w:rsidR="000820B2">
        <w:rPr>
          <w:b/>
          <w:sz w:val="24"/>
        </w:rPr>
        <w:t xml:space="preserve">FOR ALL </w:t>
      </w:r>
      <w:r>
        <w:rPr>
          <w:b/>
          <w:sz w:val="24"/>
        </w:rPr>
        <w:t>WORKING GROUP</w:t>
      </w:r>
    </w:p>
    <w:p w14:paraId="5EA8DCEB" w14:textId="64EFB6C7" w:rsidR="00DB6549" w:rsidRDefault="009C05A6">
      <w:pPr>
        <w:spacing w:line="480" w:lineRule="auto"/>
        <w:ind w:left="102" w:right="1307"/>
        <w:rPr>
          <w:b/>
          <w:sz w:val="24"/>
        </w:rPr>
      </w:pPr>
      <w:r>
        <w:rPr>
          <w:b/>
          <w:sz w:val="24"/>
        </w:rPr>
        <w:t>TERMS OF REFERENCE</w:t>
      </w:r>
    </w:p>
    <w:p w14:paraId="5EA8DCEC" w14:textId="77777777" w:rsidR="00DB6549" w:rsidRDefault="00DB6549">
      <w:pPr>
        <w:pStyle w:val="BodyText"/>
        <w:rPr>
          <w:b/>
          <w:sz w:val="26"/>
        </w:rPr>
      </w:pPr>
    </w:p>
    <w:p w14:paraId="5EA8DCED" w14:textId="77777777" w:rsidR="00DB6549" w:rsidRDefault="00DB6549">
      <w:pPr>
        <w:pStyle w:val="BodyText"/>
        <w:rPr>
          <w:b/>
          <w:sz w:val="26"/>
        </w:rPr>
      </w:pPr>
    </w:p>
    <w:p w14:paraId="5EA8DCEE" w14:textId="77777777" w:rsidR="00DB6549" w:rsidRDefault="00DB6549">
      <w:pPr>
        <w:pStyle w:val="BodyText"/>
        <w:rPr>
          <w:b/>
          <w:sz w:val="26"/>
        </w:rPr>
      </w:pPr>
    </w:p>
    <w:p w14:paraId="5EA8DCEF" w14:textId="77777777" w:rsidR="00DB6549" w:rsidRDefault="00DB6549">
      <w:pPr>
        <w:pStyle w:val="BodyText"/>
        <w:rPr>
          <w:b/>
          <w:sz w:val="26"/>
        </w:rPr>
      </w:pPr>
    </w:p>
    <w:p w14:paraId="5EA8DCF0" w14:textId="77777777" w:rsidR="00DB6549" w:rsidRDefault="00DB6549">
      <w:pPr>
        <w:pStyle w:val="BodyText"/>
        <w:rPr>
          <w:b/>
          <w:sz w:val="26"/>
        </w:rPr>
      </w:pPr>
    </w:p>
    <w:p w14:paraId="5EA8DCF1" w14:textId="77777777" w:rsidR="00DB6549" w:rsidRDefault="00DB6549">
      <w:pPr>
        <w:pStyle w:val="BodyText"/>
        <w:rPr>
          <w:b/>
          <w:sz w:val="26"/>
        </w:rPr>
      </w:pPr>
    </w:p>
    <w:p w14:paraId="5EA8DCF2" w14:textId="77777777" w:rsidR="00DB6549" w:rsidRDefault="00DB6549">
      <w:pPr>
        <w:pStyle w:val="BodyText"/>
        <w:rPr>
          <w:b/>
          <w:sz w:val="26"/>
        </w:rPr>
      </w:pPr>
    </w:p>
    <w:p w14:paraId="5EA8DCF3" w14:textId="77777777" w:rsidR="00DB6549" w:rsidRDefault="00DB6549">
      <w:pPr>
        <w:pStyle w:val="BodyText"/>
        <w:rPr>
          <w:b/>
          <w:sz w:val="26"/>
        </w:rPr>
      </w:pPr>
    </w:p>
    <w:p w14:paraId="5EA8DCF4" w14:textId="77777777" w:rsidR="00DB6549" w:rsidRDefault="00DB6549">
      <w:pPr>
        <w:pStyle w:val="BodyText"/>
        <w:rPr>
          <w:b/>
          <w:sz w:val="26"/>
        </w:rPr>
      </w:pPr>
    </w:p>
    <w:p w14:paraId="5EA8DCF5" w14:textId="77777777" w:rsidR="00DB6549" w:rsidRDefault="00DB6549">
      <w:pPr>
        <w:pStyle w:val="BodyText"/>
        <w:rPr>
          <w:b/>
          <w:sz w:val="26"/>
        </w:rPr>
      </w:pPr>
    </w:p>
    <w:p w14:paraId="5EA8DCF6" w14:textId="77777777" w:rsidR="00DB6549" w:rsidRDefault="00DB6549">
      <w:pPr>
        <w:pStyle w:val="BodyText"/>
        <w:rPr>
          <w:b/>
          <w:sz w:val="26"/>
        </w:rPr>
      </w:pPr>
    </w:p>
    <w:p w14:paraId="5EA8DCF7" w14:textId="77777777" w:rsidR="00DB6549" w:rsidRDefault="00DB6549">
      <w:pPr>
        <w:pStyle w:val="BodyText"/>
        <w:rPr>
          <w:b/>
          <w:sz w:val="26"/>
        </w:rPr>
      </w:pPr>
    </w:p>
    <w:p w14:paraId="5EA8DCF8" w14:textId="77777777" w:rsidR="00DB6549" w:rsidRDefault="00DB6549">
      <w:pPr>
        <w:pStyle w:val="BodyText"/>
        <w:rPr>
          <w:b/>
          <w:sz w:val="26"/>
        </w:rPr>
      </w:pPr>
    </w:p>
    <w:p w14:paraId="5EA8DCF9" w14:textId="77777777" w:rsidR="00DB6549" w:rsidRDefault="00DB6549">
      <w:pPr>
        <w:pStyle w:val="BodyText"/>
        <w:rPr>
          <w:b/>
        </w:rPr>
      </w:pPr>
    </w:p>
    <w:p w14:paraId="53B0CD97" w14:textId="77777777" w:rsidR="00AD624C" w:rsidRDefault="009C05A6">
      <w:pPr>
        <w:spacing w:line="480" w:lineRule="auto"/>
        <w:ind w:left="102" w:right="5827"/>
        <w:rPr>
          <w:b/>
          <w:sz w:val="24"/>
        </w:rPr>
      </w:pPr>
      <w:r>
        <w:rPr>
          <w:b/>
          <w:sz w:val="24"/>
        </w:rPr>
        <w:t xml:space="preserve">Adopted: </w:t>
      </w:r>
    </w:p>
    <w:p w14:paraId="1E7194BD" w14:textId="4A383291" w:rsidR="00DD2914" w:rsidRDefault="009C05A6">
      <w:pPr>
        <w:spacing w:line="480" w:lineRule="auto"/>
        <w:ind w:left="102" w:right="5827"/>
        <w:rPr>
          <w:b/>
          <w:spacing w:val="-3"/>
          <w:sz w:val="24"/>
        </w:rPr>
      </w:pPr>
      <w:r>
        <w:rPr>
          <w:b/>
          <w:sz w:val="24"/>
        </w:rPr>
        <w:t>Owner:</w:t>
      </w:r>
      <w:r>
        <w:rPr>
          <w:b/>
          <w:spacing w:val="-3"/>
          <w:sz w:val="24"/>
        </w:rPr>
        <w:t xml:space="preserve"> </w:t>
      </w:r>
      <w:r w:rsidR="00B05F64">
        <w:rPr>
          <w:b/>
          <w:spacing w:val="-3"/>
          <w:sz w:val="24"/>
        </w:rPr>
        <w:t>Sarah Breavington</w:t>
      </w:r>
    </w:p>
    <w:p w14:paraId="5EA8DCFA" w14:textId="74633EEA" w:rsidR="00DB6549" w:rsidRDefault="00DD2914">
      <w:pPr>
        <w:spacing w:line="480" w:lineRule="auto"/>
        <w:ind w:left="102" w:right="5827"/>
        <w:rPr>
          <w:b/>
          <w:sz w:val="24"/>
        </w:rPr>
      </w:pPr>
      <w:r>
        <w:rPr>
          <w:b/>
          <w:spacing w:val="-3"/>
          <w:sz w:val="24"/>
        </w:rPr>
        <w:t>Chief Operating Officer</w:t>
      </w:r>
    </w:p>
    <w:p w14:paraId="5EA8DCFB" w14:textId="35DCCEBE" w:rsidR="00DB6549" w:rsidRDefault="009C05A6">
      <w:pPr>
        <w:ind w:left="102"/>
        <w:rPr>
          <w:b/>
          <w:sz w:val="24"/>
        </w:rPr>
      </w:pPr>
      <w:r>
        <w:rPr>
          <w:b/>
          <w:sz w:val="24"/>
        </w:rPr>
        <w:t>Review</w:t>
      </w:r>
      <w:r>
        <w:rPr>
          <w:b/>
          <w:spacing w:val="-1"/>
          <w:sz w:val="24"/>
        </w:rPr>
        <w:t xml:space="preserve"> </w:t>
      </w:r>
      <w:r>
        <w:rPr>
          <w:b/>
          <w:sz w:val="24"/>
        </w:rPr>
        <w:t>date:</w:t>
      </w:r>
      <w:r>
        <w:rPr>
          <w:b/>
          <w:spacing w:val="-2"/>
          <w:sz w:val="24"/>
        </w:rPr>
        <w:t xml:space="preserve"> </w:t>
      </w:r>
      <w:r w:rsidR="00B05F64">
        <w:rPr>
          <w:b/>
          <w:spacing w:val="-2"/>
          <w:sz w:val="24"/>
        </w:rPr>
        <w:t>22/02/2022</w:t>
      </w:r>
    </w:p>
    <w:p w14:paraId="5EA8DCFC" w14:textId="77777777" w:rsidR="00DB6549" w:rsidRDefault="00DB6549">
      <w:pPr>
        <w:pStyle w:val="BodyText"/>
        <w:rPr>
          <w:b/>
          <w:sz w:val="16"/>
        </w:rPr>
      </w:pPr>
    </w:p>
    <w:p w14:paraId="5EA8DCFD" w14:textId="0DADA019" w:rsidR="00DB6549" w:rsidRDefault="009C05A6">
      <w:pPr>
        <w:spacing w:before="92"/>
        <w:ind w:left="102"/>
        <w:rPr>
          <w:b/>
          <w:sz w:val="24"/>
        </w:rPr>
      </w:pPr>
      <w:r>
        <w:rPr>
          <w:b/>
          <w:sz w:val="24"/>
        </w:rPr>
        <w:t>Trim</w:t>
      </w:r>
      <w:r>
        <w:rPr>
          <w:b/>
          <w:spacing w:val="-5"/>
          <w:sz w:val="24"/>
        </w:rPr>
        <w:t xml:space="preserve"> </w:t>
      </w:r>
      <w:r>
        <w:rPr>
          <w:b/>
          <w:sz w:val="24"/>
        </w:rPr>
        <w:t>Reference:</w:t>
      </w:r>
      <w:r>
        <w:rPr>
          <w:b/>
          <w:spacing w:val="-3"/>
          <w:sz w:val="24"/>
        </w:rPr>
        <w:t xml:space="preserve"> </w:t>
      </w:r>
      <w:r w:rsidR="00E17407">
        <w:rPr>
          <w:b/>
          <w:sz w:val="24"/>
        </w:rPr>
        <w:t>2022/069433</w:t>
      </w:r>
    </w:p>
    <w:p w14:paraId="5EA8DCFE" w14:textId="77777777" w:rsidR="00DB6549" w:rsidRDefault="00DB6549">
      <w:pPr>
        <w:rPr>
          <w:sz w:val="24"/>
        </w:rPr>
        <w:sectPr w:rsidR="00DB6549">
          <w:type w:val="continuous"/>
          <w:pgSz w:w="11910" w:h="16850"/>
          <w:pgMar w:top="1600" w:right="1360" w:bottom="280" w:left="1520" w:header="720" w:footer="720" w:gutter="0"/>
          <w:cols w:space="720"/>
        </w:sectPr>
      </w:pPr>
    </w:p>
    <w:p w14:paraId="6F718D1B" w14:textId="77777777" w:rsidR="004F7E97" w:rsidRDefault="004F7E97">
      <w:pPr>
        <w:spacing w:before="66"/>
        <w:ind w:left="102"/>
        <w:rPr>
          <w:b/>
        </w:rPr>
      </w:pPr>
    </w:p>
    <w:p w14:paraId="7DBDB310" w14:textId="6B5953E3" w:rsidR="004F7E97" w:rsidRDefault="004F7E97">
      <w:pPr>
        <w:spacing w:before="66"/>
        <w:ind w:left="102"/>
        <w:rPr>
          <w:b/>
        </w:rPr>
      </w:pPr>
      <w:r>
        <w:rPr>
          <w:noProof/>
        </w:rPr>
        <w:drawing>
          <wp:anchor distT="0" distB="0" distL="114300" distR="114300" simplePos="0" relativeHeight="251661312" behindDoc="1" locked="0" layoutInCell="1" allowOverlap="1" wp14:anchorId="5CF41CD4" wp14:editId="1C02EA7A">
            <wp:simplePos x="0" y="0"/>
            <wp:positionH relativeFrom="margin">
              <wp:posOffset>0</wp:posOffset>
            </wp:positionH>
            <wp:positionV relativeFrom="paragraph">
              <wp:posOffset>203200</wp:posOffset>
            </wp:positionV>
            <wp:extent cx="3498215" cy="549275"/>
            <wp:effectExtent l="0" t="0" r="6985" b="3175"/>
            <wp:wrapTight wrapText="bothSides">
              <wp:wrapPolygon edited="0">
                <wp:start x="0" y="0"/>
                <wp:lineTo x="0" y="20976"/>
                <wp:lineTo x="21526" y="20976"/>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21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768AC" w14:textId="77777777" w:rsidR="004F7E97" w:rsidRDefault="004F7E97">
      <w:pPr>
        <w:spacing w:before="66"/>
        <w:ind w:left="102"/>
        <w:rPr>
          <w:b/>
        </w:rPr>
      </w:pPr>
    </w:p>
    <w:p w14:paraId="51966D42" w14:textId="77777777" w:rsidR="004F7E97" w:rsidRDefault="004F7E97">
      <w:pPr>
        <w:spacing w:before="66"/>
        <w:ind w:left="102"/>
        <w:rPr>
          <w:b/>
        </w:rPr>
      </w:pPr>
    </w:p>
    <w:p w14:paraId="457E45AA" w14:textId="77777777" w:rsidR="004F7E97" w:rsidRDefault="004F7E97">
      <w:pPr>
        <w:spacing w:before="66"/>
        <w:ind w:left="102"/>
        <w:rPr>
          <w:b/>
        </w:rPr>
      </w:pPr>
    </w:p>
    <w:p w14:paraId="6B3AE17A" w14:textId="77777777" w:rsidR="004F7E97" w:rsidRDefault="004F7E97">
      <w:pPr>
        <w:spacing w:before="66"/>
        <w:ind w:left="102"/>
        <w:rPr>
          <w:b/>
        </w:rPr>
      </w:pPr>
    </w:p>
    <w:p w14:paraId="2166445C" w14:textId="77777777" w:rsidR="004F7E97" w:rsidRDefault="004F7E97">
      <w:pPr>
        <w:spacing w:before="66"/>
        <w:ind w:left="102"/>
        <w:rPr>
          <w:b/>
        </w:rPr>
      </w:pPr>
    </w:p>
    <w:p w14:paraId="5EA8DCFF" w14:textId="4CE8FE08" w:rsidR="00DB6549" w:rsidRDefault="009C05A6">
      <w:pPr>
        <w:spacing w:before="66"/>
        <w:ind w:left="102"/>
        <w:rPr>
          <w:b/>
        </w:rPr>
      </w:pPr>
      <w:r>
        <w:rPr>
          <w:b/>
        </w:rPr>
        <w:t>CITY</w:t>
      </w:r>
      <w:r>
        <w:rPr>
          <w:b/>
          <w:spacing w:val="-2"/>
        </w:rPr>
        <w:t xml:space="preserve"> </w:t>
      </w:r>
      <w:r>
        <w:rPr>
          <w:b/>
        </w:rPr>
        <w:t>OF</w:t>
      </w:r>
      <w:r>
        <w:rPr>
          <w:b/>
          <w:spacing w:val="-1"/>
        </w:rPr>
        <w:t xml:space="preserve"> </w:t>
      </w:r>
      <w:r>
        <w:rPr>
          <w:b/>
        </w:rPr>
        <w:t>SYDNEY</w:t>
      </w:r>
    </w:p>
    <w:p w14:paraId="5EA8DD00" w14:textId="77777777" w:rsidR="00DB6549" w:rsidRDefault="00DB6549">
      <w:pPr>
        <w:pStyle w:val="BodyText"/>
        <w:rPr>
          <w:b/>
        </w:rPr>
      </w:pPr>
    </w:p>
    <w:p w14:paraId="5196D251" w14:textId="1B85AC73" w:rsidR="00AD624C" w:rsidRDefault="00AD624C">
      <w:pPr>
        <w:spacing w:line="480" w:lineRule="auto"/>
        <w:ind w:left="102" w:right="1941"/>
        <w:rPr>
          <w:b/>
        </w:rPr>
      </w:pPr>
      <w:r>
        <w:rPr>
          <w:b/>
        </w:rPr>
        <w:t xml:space="preserve">HOUSING </w:t>
      </w:r>
      <w:r w:rsidR="000820B2">
        <w:rPr>
          <w:b/>
        </w:rPr>
        <w:t xml:space="preserve">FOR ALL </w:t>
      </w:r>
      <w:r>
        <w:rPr>
          <w:b/>
        </w:rPr>
        <w:t>WORKING GROUP</w:t>
      </w:r>
    </w:p>
    <w:p w14:paraId="5EA8DD01" w14:textId="3DE83091" w:rsidR="00DB6549" w:rsidRDefault="004F7E97">
      <w:pPr>
        <w:spacing w:line="480" w:lineRule="auto"/>
        <w:ind w:left="102" w:right="1941"/>
        <w:rPr>
          <w:b/>
        </w:rPr>
      </w:pPr>
      <w:r>
        <w:rPr>
          <w:b/>
        </w:rPr>
        <w:t xml:space="preserve">DRAFT </w:t>
      </w:r>
      <w:r w:rsidR="009C05A6">
        <w:rPr>
          <w:b/>
        </w:rPr>
        <w:t>TERMS</w:t>
      </w:r>
      <w:r w:rsidR="009C05A6">
        <w:rPr>
          <w:b/>
          <w:spacing w:val="-1"/>
        </w:rPr>
        <w:t xml:space="preserve"> </w:t>
      </w:r>
      <w:r w:rsidR="009C05A6">
        <w:rPr>
          <w:b/>
        </w:rPr>
        <w:t>OF REFERENCE</w:t>
      </w:r>
    </w:p>
    <w:p w14:paraId="46F882C7" w14:textId="77777777" w:rsidR="002E59E6" w:rsidRPr="002E59E6" w:rsidRDefault="002E59E6" w:rsidP="002E59E6">
      <w:pPr>
        <w:spacing w:line="480" w:lineRule="auto"/>
        <w:ind w:right="1941"/>
        <w:rPr>
          <w:b/>
        </w:rPr>
      </w:pPr>
    </w:p>
    <w:p w14:paraId="5EA8DD02" w14:textId="77777777" w:rsidR="00DB6549" w:rsidRDefault="009C05A6">
      <w:pPr>
        <w:pStyle w:val="ListParagraph"/>
        <w:numPr>
          <w:ilvl w:val="0"/>
          <w:numId w:val="3"/>
        </w:numPr>
        <w:tabs>
          <w:tab w:val="left" w:pos="350"/>
        </w:tabs>
        <w:spacing w:line="251" w:lineRule="exact"/>
        <w:rPr>
          <w:b/>
        </w:rPr>
      </w:pPr>
      <w:r>
        <w:rPr>
          <w:b/>
        </w:rPr>
        <w:t>Purpose</w:t>
      </w:r>
    </w:p>
    <w:p w14:paraId="5EA8DD03" w14:textId="77777777" w:rsidR="00DB6549" w:rsidRPr="006C1711" w:rsidRDefault="00DB6549" w:rsidP="006C1711">
      <w:pPr>
        <w:pStyle w:val="BodyText"/>
      </w:pPr>
    </w:p>
    <w:p w14:paraId="10A8F906" w14:textId="77777777" w:rsidR="00E85973" w:rsidRPr="006C1711" w:rsidRDefault="00E85973" w:rsidP="00E85973">
      <w:pPr>
        <w:pStyle w:val="BodyText"/>
      </w:pPr>
      <w:r w:rsidRPr="006C1711">
        <w:t xml:space="preserve">The primary role of the Affordable and Diverse Housing Working Group (the working group) is to bring together industry leaders and experts to share knowledge and provide strategic, expert advice and guidance to the City of Sydney (the City) on the development of agreed strategies and initiatives to increase the supply of affordable and diverse housing (including social housing) within the City of Sydney Local Government Area. </w:t>
      </w:r>
    </w:p>
    <w:p w14:paraId="3D661FBD" w14:textId="77777777" w:rsidR="00E85973" w:rsidRPr="006C1711" w:rsidRDefault="00E85973" w:rsidP="00E85973">
      <w:pPr>
        <w:pStyle w:val="BodyText"/>
      </w:pPr>
    </w:p>
    <w:p w14:paraId="11DC7738" w14:textId="77777777" w:rsidR="00E85973" w:rsidRPr="006C1711" w:rsidRDefault="00E85973" w:rsidP="00E85973">
      <w:pPr>
        <w:pStyle w:val="BodyText"/>
      </w:pPr>
      <w:r w:rsidRPr="006C1711">
        <w:t>Sydney remains Australia’s least affordable city. The decline in housing affordability and the inability of everyday people to access affordable and diverse housing is having an increasingly detrimental impact on socio-economic diversity, which underpins the city’s rich social fabric.</w:t>
      </w:r>
    </w:p>
    <w:p w14:paraId="51D665DA" w14:textId="77777777" w:rsidR="00E85973" w:rsidRPr="006C1711" w:rsidRDefault="00E85973" w:rsidP="00E85973">
      <w:pPr>
        <w:pStyle w:val="BodyText"/>
      </w:pPr>
    </w:p>
    <w:p w14:paraId="290E331D" w14:textId="77777777" w:rsidR="00E85973" w:rsidRPr="006C1711" w:rsidRDefault="00E85973" w:rsidP="00E85973">
      <w:pPr>
        <w:pStyle w:val="BodyText"/>
      </w:pPr>
      <w:r w:rsidRPr="006C1711">
        <w:t>Affordable and diverse housing supports a well-functioning city. For people on lower incomes it provides a critical alternative to private market housing, providing some opportunity to live in the city. It also acts as a release valve to social housing, easing the pressure on demand for an already undersupplied market.</w:t>
      </w:r>
    </w:p>
    <w:p w14:paraId="20CBADFD" w14:textId="77777777" w:rsidR="00E85973" w:rsidRPr="006C1711" w:rsidRDefault="00E85973" w:rsidP="00E85973">
      <w:pPr>
        <w:pStyle w:val="BodyText"/>
      </w:pPr>
    </w:p>
    <w:p w14:paraId="40DE7D34" w14:textId="77777777" w:rsidR="00E85973" w:rsidRPr="006C1711" w:rsidRDefault="00E85973" w:rsidP="00E85973">
      <w:pPr>
        <w:pStyle w:val="BodyText"/>
      </w:pPr>
      <w:r w:rsidRPr="006C1711">
        <w:t>Providing affordable and diverse housing is a key focus of the City of Sydney’s long-term vision for a City for All. The working group will work collaboratively to identify opportunities and develop solutions to address this complex issue for our community.</w:t>
      </w:r>
    </w:p>
    <w:p w14:paraId="0CA92FBD" w14:textId="51990F3F" w:rsidR="00D141D9" w:rsidRDefault="00D141D9" w:rsidP="006C1711">
      <w:pPr>
        <w:pStyle w:val="BodyText"/>
        <w:ind w:right="336"/>
      </w:pPr>
    </w:p>
    <w:p w14:paraId="77EAB674" w14:textId="3DFA72AC" w:rsidR="00D141D9" w:rsidRPr="00D141D9" w:rsidRDefault="00D141D9" w:rsidP="00D141D9">
      <w:pPr>
        <w:pStyle w:val="BodyText"/>
        <w:numPr>
          <w:ilvl w:val="0"/>
          <w:numId w:val="3"/>
        </w:numPr>
        <w:ind w:right="336"/>
        <w:rPr>
          <w:b/>
          <w:bCs/>
        </w:rPr>
      </w:pPr>
      <w:r w:rsidRPr="00D141D9">
        <w:rPr>
          <w:b/>
          <w:bCs/>
        </w:rPr>
        <w:t>Objective</w:t>
      </w:r>
    </w:p>
    <w:p w14:paraId="6B5C8CC4" w14:textId="5891352F" w:rsidR="009B4313" w:rsidRDefault="009B4313" w:rsidP="00021E91">
      <w:pPr>
        <w:pStyle w:val="BodyText"/>
        <w:ind w:left="564" w:right="336"/>
      </w:pPr>
    </w:p>
    <w:p w14:paraId="130B9239" w14:textId="77777777" w:rsidR="00D04607" w:rsidRPr="006C1711" w:rsidRDefault="00D04607" w:rsidP="00D04607">
      <w:pPr>
        <w:pStyle w:val="BodyText"/>
        <w:numPr>
          <w:ilvl w:val="0"/>
          <w:numId w:val="10"/>
        </w:numPr>
      </w:pPr>
      <w:r w:rsidRPr="006C1711">
        <w:t xml:space="preserve">Share knowledge, provide </w:t>
      </w:r>
      <w:proofErr w:type="gramStart"/>
      <w:r w:rsidRPr="006C1711">
        <w:t>advice</w:t>
      </w:r>
      <w:proofErr w:type="gramEnd"/>
      <w:r w:rsidRPr="006C1711">
        <w:t xml:space="preserve"> and establish partnerships that create opportunities to increase affordable and diverse housing in the City of Sydney Local Government Area.</w:t>
      </w:r>
    </w:p>
    <w:p w14:paraId="3DF56255" w14:textId="77777777" w:rsidR="00D04607" w:rsidRPr="006C1711" w:rsidRDefault="00D04607" w:rsidP="00D04607">
      <w:pPr>
        <w:pStyle w:val="BodyText"/>
        <w:numPr>
          <w:ilvl w:val="0"/>
          <w:numId w:val="10"/>
        </w:numPr>
      </w:pPr>
      <w:r w:rsidRPr="006C1711">
        <w:t>Support and guide the implementation of initiatives and actions within the City’s Housing for All: City of Sydney Local Housing Strategy.</w:t>
      </w:r>
    </w:p>
    <w:p w14:paraId="09CA379D" w14:textId="77777777" w:rsidR="00D04607" w:rsidRPr="006C1711" w:rsidRDefault="00D04607" w:rsidP="00D04607">
      <w:pPr>
        <w:pStyle w:val="BodyText"/>
        <w:numPr>
          <w:ilvl w:val="0"/>
          <w:numId w:val="10"/>
        </w:numPr>
      </w:pPr>
      <w:r w:rsidRPr="006C1711">
        <w:t>Review innovative housing solutions that facilitate and promote new affordable and diverse housing projects</w:t>
      </w:r>
      <w:r>
        <w:t xml:space="preserve"> and support services</w:t>
      </w:r>
      <w:r w:rsidRPr="006C1711">
        <w:t>.</w:t>
      </w:r>
    </w:p>
    <w:p w14:paraId="2DC4489E" w14:textId="77777777" w:rsidR="00D04607" w:rsidRPr="006C1711" w:rsidRDefault="00D04607" w:rsidP="00D04607">
      <w:pPr>
        <w:pStyle w:val="BodyText"/>
        <w:numPr>
          <w:ilvl w:val="0"/>
          <w:numId w:val="10"/>
        </w:numPr>
      </w:pPr>
      <w:r w:rsidRPr="006C1711">
        <w:t xml:space="preserve">Advocate to other government agencies, the private </w:t>
      </w:r>
      <w:proofErr w:type="gramStart"/>
      <w:r w:rsidRPr="006C1711">
        <w:t>sector</w:t>
      </w:r>
      <w:proofErr w:type="gramEnd"/>
      <w:r w:rsidRPr="006C1711">
        <w:t xml:space="preserve"> and relevant peak bodies on key affordable and diverse housing issues.</w:t>
      </w:r>
    </w:p>
    <w:p w14:paraId="5E22B348" w14:textId="77777777" w:rsidR="00D04607" w:rsidRPr="006C1711" w:rsidRDefault="00D04607" w:rsidP="00D04607">
      <w:pPr>
        <w:pStyle w:val="BodyText"/>
        <w:numPr>
          <w:ilvl w:val="0"/>
          <w:numId w:val="10"/>
        </w:numPr>
      </w:pPr>
      <w:r w:rsidRPr="006C1711">
        <w:t>Collaborate with key representatives and stakeholders from across the affordable and diverse housing sector, relevant community organisations and peak bodies.</w:t>
      </w:r>
    </w:p>
    <w:p w14:paraId="7444C1D8" w14:textId="77777777" w:rsidR="00D04607" w:rsidRPr="006C1711" w:rsidRDefault="00D04607" w:rsidP="00D04607">
      <w:pPr>
        <w:pStyle w:val="BodyText"/>
        <w:numPr>
          <w:ilvl w:val="0"/>
          <w:numId w:val="10"/>
        </w:numPr>
      </w:pPr>
      <w:r w:rsidRPr="006C1711">
        <w:t xml:space="preserve">Identify opportunities for affordable and diverse housing projects and initiatives that are Aboriginal and Torres Strait Islander led and support vulnerable groups. </w:t>
      </w:r>
    </w:p>
    <w:p w14:paraId="0CCD82DE" w14:textId="77777777" w:rsidR="00D04607" w:rsidRPr="006C1711" w:rsidRDefault="00D04607" w:rsidP="00D04607">
      <w:pPr>
        <w:pStyle w:val="BodyText"/>
        <w:numPr>
          <w:ilvl w:val="0"/>
          <w:numId w:val="10"/>
        </w:numPr>
      </w:pPr>
      <w:r w:rsidRPr="006C1711">
        <w:t>Provide insights and guidance to Council on best practice, innovative housing models, highlight market trends and community impacts, and identify opportunities for sustainable and accessible affordable and diverse housing options where relevant.</w:t>
      </w:r>
    </w:p>
    <w:p w14:paraId="47AF3BEF" w14:textId="064BB1A1" w:rsidR="00D04607" w:rsidRDefault="00D04607">
      <w:r>
        <w:br w:type="page"/>
      </w:r>
    </w:p>
    <w:p w14:paraId="20EA2DC7" w14:textId="77777777" w:rsidR="00D141D9" w:rsidRDefault="00D141D9">
      <w:pPr>
        <w:pStyle w:val="BodyText"/>
        <w:ind w:left="102" w:right="336"/>
      </w:pPr>
    </w:p>
    <w:p w14:paraId="11CB5F39" w14:textId="2E236242" w:rsidR="00D141D9" w:rsidRPr="00D141D9" w:rsidRDefault="00D141D9" w:rsidP="00D141D9">
      <w:pPr>
        <w:pStyle w:val="BodyText"/>
        <w:numPr>
          <w:ilvl w:val="0"/>
          <w:numId w:val="3"/>
        </w:numPr>
        <w:ind w:right="336"/>
        <w:rPr>
          <w:b/>
          <w:bCs/>
        </w:rPr>
      </w:pPr>
      <w:r w:rsidRPr="00D141D9">
        <w:rPr>
          <w:b/>
          <w:bCs/>
        </w:rPr>
        <w:t>Working Group Membership</w:t>
      </w:r>
    </w:p>
    <w:p w14:paraId="02E8002E" w14:textId="195B8D53" w:rsidR="00D141D9" w:rsidRDefault="00D141D9">
      <w:pPr>
        <w:pStyle w:val="BodyText"/>
        <w:ind w:left="102" w:right="336"/>
      </w:pPr>
    </w:p>
    <w:p w14:paraId="019EB381" w14:textId="77777777" w:rsidR="009052F0" w:rsidRPr="006C1711" w:rsidRDefault="009052F0" w:rsidP="009052F0">
      <w:pPr>
        <w:pStyle w:val="BodyText"/>
      </w:pPr>
      <w:r w:rsidRPr="006C1711">
        <w:t xml:space="preserve">The membership of the working group will include a broad range of stakeholders and organisations active within the affordable and diverse housing sector and peak bodies and agencies that represent the interests of the City’s diverse communities. </w:t>
      </w:r>
    </w:p>
    <w:p w14:paraId="40590E5E" w14:textId="77777777" w:rsidR="009052F0" w:rsidRPr="006C1711" w:rsidRDefault="009052F0" w:rsidP="009052F0">
      <w:pPr>
        <w:pStyle w:val="BodyText"/>
      </w:pPr>
    </w:p>
    <w:p w14:paraId="3388EFF6" w14:textId="443CFE6D" w:rsidR="009052F0" w:rsidRPr="000C6DC4" w:rsidRDefault="009052F0" w:rsidP="009052F0">
      <w:pPr>
        <w:pStyle w:val="BodyText"/>
      </w:pPr>
      <w:r w:rsidRPr="000C6DC4">
        <w:t xml:space="preserve">Membership consists of up to </w:t>
      </w:r>
      <w:r w:rsidR="005A5142" w:rsidRPr="000C6DC4">
        <w:t>ten</w:t>
      </w:r>
      <w:r w:rsidRPr="000C6DC4">
        <w:t xml:space="preserve"> (</w:t>
      </w:r>
      <w:r w:rsidR="005A5142" w:rsidRPr="000C6DC4">
        <w:t>10</w:t>
      </w:r>
      <w:r w:rsidRPr="000C6DC4">
        <w:t>) members including:</w:t>
      </w:r>
    </w:p>
    <w:p w14:paraId="269F95CA" w14:textId="77777777" w:rsidR="009052F0" w:rsidRPr="000C6DC4" w:rsidRDefault="009052F0" w:rsidP="00BB7D55">
      <w:pPr>
        <w:pStyle w:val="BodyText"/>
        <w:rPr>
          <w:b/>
          <w:bCs/>
          <w:i/>
          <w:iCs/>
        </w:rPr>
      </w:pPr>
    </w:p>
    <w:p w14:paraId="66FFA47D" w14:textId="4E802F33" w:rsidR="00BB7D55" w:rsidRPr="000C6DC4" w:rsidRDefault="00BB7D55" w:rsidP="00BB7D55">
      <w:pPr>
        <w:pStyle w:val="BodyText"/>
        <w:rPr>
          <w:b/>
          <w:bCs/>
          <w:i/>
          <w:iCs/>
        </w:rPr>
      </w:pPr>
      <w:r w:rsidRPr="000C6DC4">
        <w:rPr>
          <w:b/>
          <w:bCs/>
          <w:i/>
          <w:iCs/>
        </w:rPr>
        <w:t>Representatives</w:t>
      </w:r>
    </w:p>
    <w:p w14:paraId="4787AF92" w14:textId="324F774F" w:rsidR="004A29AD" w:rsidRPr="000C6DC4" w:rsidRDefault="004A29AD" w:rsidP="004A29AD">
      <w:pPr>
        <w:pStyle w:val="BodyText"/>
        <w:numPr>
          <w:ilvl w:val="0"/>
          <w:numId w:val="12"/>
        </w:numPr>
      </w:pPr>
      <w:r w:rsidRPr="000C6DC4">
        <w:t xml:space="preserve">Up to </w:t>
      </w:r>
      <w:r w:rsidR="005A5142" w:rsidRPr="000C6DC4">
        <w:t>t</w:t>
      </w:r>
      <w:r w:rsidR="00404A96">
        <w:t>wo</w:t>
      </w:r>
      <w:r w:rsidRPr="000C6DC4">
        <w:rPr>
          <w:spacing w:val="-3"/>
        </w:rPr>
        <w:t xml:space="preserve"> representatives from the </w:t>
      </w:r>
      <w:r w:rsidRPr="000C6DC4">
        <w:t>Community Housing Provider (CHP) sector (currently or previously)</w:t>
      </w:r>
      <w:r w:rsidR="005A5142" w:rsidRPr="000C6DC4">
        <w:t xml:space="preserve"> or housing peak </w:t>
      </w:r>
      <w:proofErr w:type="gramStart"/>
      <w:r w:rsidR="005A5142" w:rsidRPr="000C6DC4">
        <w:t>bodies</w:t>
      </w:r>
      <w:r w:rsidRPr="000C6DC4">
        <w:t>;</w:t>
      </w:r>
      <w:proofErr w:type="gramEnd"/>
    </w:p>
    <w:p w14:paraId="3B675DC3" w14:textId="77777777" w:rsidR="004A29AD" w:rsidRPr="000C6DC4" w:rsidRDefault="004A29AD" w:rsidP="004A29AD">
      <w:pPr>
        <w:pStyle w:val="BodyText"/>
        <w:numPr>
          <w:ilvl w:val="0"/>
          <w:numId w:val="12"/>
        </w:numPr>
      </w:pPr>
      <w:r w:rsidRPr="000C6DC4">
        <w:t>Up</w:t>
      </w:r>
      <w:r w:rsidRPr="000C6DC4">
        <w:rPr>
          <w:spacing w:val="-3"/>
        </w:rPr>
        <w:t xml:space="preserve"> </w:t>
      </w:r>
      <w:r w:rsidRPr="000C6DC4">
        <w:t>to</w:t>
      </w:r>
      <w:r w:rsidRPr="000C6DC4">
        <w:rPr>
          <w:spacing w:val="-3"/>
        </w:rPr>
        <w:t xml:space="preserve"> two </w:t>
      </w:r>
      <w:r w:rsidRPr="000C6DC4">
        <w:t xml:space="preserve">community </w:t>
      </w:r>
      <w:r w:rsidRPr="000C6DC4">
        <w:rPr>
          <w:spacing w:val="-3"/>
        </w:rPr>
        <w:t>r</w:t>
      </w:r>
      <w:r w:rsidRPr="000C6DC4">
        <w:t xml:space="preserve">epresentatives who live in and/or access affordable and diverse </w:t>
      </w:r>
      <w:proofErr w:type="gramStart"/>
      <w:r w:rsidRPr="000C6DC4">
        <w:t>housing;</w:t>
      </w:r>
      <w:proofErr w:type="gramEnd"/>
    </w:p>
    <w:p w14:paraId="0784E6FF" w14:textId="0F39F8AC" w:rsidR="004A29AD" w:rsidRPr="000C6DC4" w:rsidRDefault="004A29AD" w:rsidP="004A29AD">
      <w:pPr>
        <w:pStyle w:val="BodyText"/>
        <w:numPr>
          <w:ilvl w:val="0"/>
          <w:numId w:val="12"/>
        </w:numPr>
      </w:pPr>
      <w:r w:rsidRPr="000C6DC4">
        <w:t>Up to two</w:t>
      </w:r>
      <w:r w:rsidRPr="000C6DC4">
        <w:rPr>
          <w:spacing w:val="-2"/>
        </w:rPr>
        <w:t xml:space="preserve"> representatives f</w:t>
      </w:r>
      <w:r w:rsidR="0050453F" w:rsidRPr="000C6DC4">
        <w:rPr>
          <w:spacing w:val="-2"/>
        </w:rPr>
        <w:t>r</w:t>
      </w:r>
      <w:r w:rsidRPr="000C6DC4">
        <w:rPr>
          <w:spacing w:val="-2"/>
        </w:rPr>
        <w:t>om research (or similar) organisations</w:t>
      </w:r>
      <w:r w:rsidR="005A5142" w:rsidRPr="000C6DC4">
        <w:rPr>
          <w:spacing w:val="-2"/>
        </w:rPr>
        <w:t xml:space="preserve"> and industry.  </w:t>
      </w:r>
      <w:r w:rsidRPr="000C6DC4">
        <w:rPr>
          <w:spacing w:val="-2"/>
        </w:rPr>
        <w:t xml:space="preserve"> </w:t>
      </w:r>
      <w:r w:rsidR="005A5142" w:rsidRPr="000C6DC4">
        <w:rPr>
          <w:spacing w:val="-2"/>
        </w:rPr>
        <w:t xml:space="preserve">Including those </w:t>
      </w:r>
      <w:r w:rsidR="0050453F" w:rsidRPr="000C6DC4">
        <w:t xml:space="preserve">(currently or previously) </w:t>
      </w:r>
      <w:r w:rsidRPr="000C6DC4">
        <w:rPr>
          <w:spacing w:val="-2"/>
        </w:rPr>
        <w:t xml:space="preserve">with relevant knowledge and expertise </w:t>
      </w:r>
      <w:r w:rsidRPr="000C6DC4">
        <w:t xml:space="preserve">on affordable and diverse housing issues, including culturally appropriate housing and universal housing </w:t>
      </w:r>
      <w:proofErr w:type="gramStart"/>
      <w:r w:rsidRPr="000C6DC4">
        <w:t>design;</w:t>
      </w:r>
      <w:proofErr w:type="gramEnd"/>
    </w:p>
    <w:p w14:paraId="7F1DEAFD" w14:textId="39CCFB2C" w:rsidR="00862879" w:rsidRPr="000C6DC4" w:rsidRDefault="00862879" w:rsidP="00862879">
      <w:pPr>
        <w:pStyle w:val="BodyText"/>
      </w:pPr>
    </w:p>
    <w:p w14:paraId="51F77CAA" w14:textId="27FC276B" w:rsidR="00862879" w:rsidRPr="000C6DC4" w:rsidRDefault="00862879" w:rsidP="00862879">
      <w:pPr>
        <w:pStyle w:val="BodyText"/>
        <w:rPr>
          <w:b/>
          <w:bCs/>
          <w:i/>
          <w:iCs/>
        </w:rPr>
      </w:pPr>
      <w:r w:rsidRPr="000C6DC4">
        <w:rPr>
          <w:b/>
          <w:bCs/>
          <w:i/>
          <w:iCs/>
        </w:rPr>
        <w:t>Nominees</w:t>
      </w:r>
    </w:p>
    <w:p w14:paraId="30B1C010" w14:textId="72F985B1" w:rsidR="00C22C98" w:rsidRPr="000C6DC4" w:rsidRDefault="00C22C98" w:rsidP="00C22C98">
      <w:pPr>
        <w:pStyle w:val="BodyText"/>
        <w:numPr>
          <w:ilvl w:val="0"/>
          <w:numId w:val="12"/>
        </w:numPr>
      </w:pPr>
      <w:r w:rsidRPr="000C6DC4">
        <w:rPr>
          <w:spacing w:val="-3"/>
        </w:rPr>
        <w:t>Up to two State Agency representatives</w:t>
      </w:r>
      <w:r w:rsidR="005A5142" w:rsidRPr="000C6DC4">
        <w:rPr>
          <w:spacing w:val="-3"/>
        </w:rPr>
        <w:t xml:space="preserve"> </w:t>
      </w:r>
      <w:r w:rsidRPr="000C6DC4">
        <w:t xml:space="preserve">relevant to affordable and diverse housing, including funding </w:t>
      </w:r>
      <w:proofErr w:type="gramStart"/>
      <w:r w:rsidRPr="000C6DC4">
        <w:t>bodies</w:t>
      </w:r>
      <w:r w:rsidRPr="000C6DC4">
        <w:rPr>
          <w:spacing w:val="-3"/>
        </w:rPr>
        <w:t>;</w:t>
      </w:r>
      <w:proofErr w:type="gramEnd"/>
      <w:r w:rsidRPr="000C6DC4">
        <w:rPr>
          <w:spacing w:val="-3"/>
        </w:rPr>
        <w:t xml:space="preserve"> </w:t>
      </w:r>
    </w:p>
    <w:p w14:paraId="70D9BCE8" w14:textId="53CBC874" w:rsidR="00404A96" w:rsidRDefault="00404A96" w:rsidP="00404A96">
      <w:pPr>
        <w:widowControl/>
        <w:numPr>
          <w:ilvl w:val="0"/>
          <w:numId w:val="12"/>
        </w:numPr>
        <w:autoSpaceDE/>
        <w:autoSpaceDN/>
        <w:spacing w:before="120" w:after="120"/>
      </w:pPr>
      <w:bookmarkStart w:id="0" w:name="_Hlk98322988"/>
      <w:r>
        <w:t xml:space="preserve">Two elected representatives, comprising the Lord Mayor (or delegate) and one City of Sydney Councillor.  </w:t>
      </w:r>
    </w:p>
    <w:bookmarkEnd w:id="0"/>
    <w:p w14:paraId="3EFBF967" w14:textId="77777777" w:rsidR="005A5142" w:rsidRPr="000C6DC4" w:rsidRDefault="005A5142" w:rsidP="005A5142">
      <w:pPr>
        <w:pStyle w:val="BodyText"/>
        <w:rPr>
          <w:sz w:val="28"/>
        </w:rPr>
      </w:pPr>
    </w:p>
    <w:p w14:paraId="3C085EAC" w14:textId="52F1D433" w:rsidR="008B4D51" w:rsidRPr="000C6DC4" w:rsidRDefault="008B4D51" w:rsidP="006C1711">
      <w:pPr>
        <w:pStyle w:val="BodyText"/>
      </w:pPr>
      <w:r w:rsidRPr="000C6DC4">
        <w:t>The Panel will be chaired by a City of Sydney Councillor</w:t>
      </w:r>
      <w:r w:rsidR="008C26A5" w:rsidRPr="000C6DC4">
        <w:t xml:space="preserve">, </w:t>
      </w:r>
      <w:r w:rsidRPr="000C6DC4">
        <w:t>be</w:t>
      </w:r>
      <w:r w:rsidR="008C26A5" w:rsidRPr="000C6DC4">
        <w:t>ing</w:t>
      </w:r>
      <w:r w:rsidRPr="000C6DC4">
        <w:t xml:space="preserve"> determined by Council and their appointment is not</w:t>
      </w:r>
      <w:r w:rsidR="00C912B7" w:rsidRPr="000C6DC4">
        <w:t xml:space="preserve"> </w:t>
      </w:r>
      <w:r w:rsidRPr="000C6DC4">
        <w:t>governed by these terms of reference.</w:t>
      </w:r>
    </w:p>
    <w:p w14:paraId="226685D1" w14:textId="52285BDF" w:rsidR="0039461D" w:rsidRPr="000C6DC4" w:rsidRDefault="0039461D" w:rsidP="006C1711">
      <w:pPr>
        <w:pStyle w:val="BodyText"/>
      </w:pPr>
    </w:p>
    <w:p w14:paraId="67507CAB" w14:textId="77777777" w:rsidR="005A5142" w:rsidRPr="000C6DC4" w:rsidRDefault="00D141D9" w:rsidP="0039461D">
      <w:pPr>
        <w:pStyle w:val="BodyText"/>
      </w:pPr>
      <w:r w:rsidRPr="000C6DC4">
        <w:t xml:space="preserve">Members </w:t>
      </w:r>
      <w:r w:rsidR="006547BC" w:rsidRPr="000C6DC4">
        <w:t>may be individuals or</w:t>
      </w:r>
      <w:r w:rsidRPr="000C6DC4">
        <w:t xml:space="preserve"> appointed as a representative of an organisation</w:t>
      </w:r>
      <w:r w:rsidR="00E35AEA" w:rsidRPr="000C6DC4">
        <w:t xml:space="preserve">, </w:t>
      </w:r>
      <w:proofErr w:type="gramStart"/>
      <w:r w:rsidR="00E35AEA" w:rsidRPr="000C6DC4">
        <w:t>body</w:t>
      </w:r>
      <w:proofErr w:type="gramEnd"/>
      <w:r w:rsidRPr="000C6DC4">
        <w:t xml:space="preserve"> or agency.</w:t>
      </w:r>
      <w:r w:rsidR="0039461D" w:rsidRPr="000C6DC4">
        <w:t xml:space="preserve"> </w:t>
      </w:r>
      <w:r w:rsidR="005A5142" w:rsidRPr="000C6DC4">
        <w:t xml:space="preserve"> </w:t>
      </w:r>
    </w:p>
    <w:p w14:paraId="4142C1F6" w14:textId="77777777" w:rsidR="005A5142" w:rsidRPr="000C6DC4" w:rsidRDefault="005A5142" w:rsidP="0039461D">
      <w:pPr>
        <w:pStyle w:val="BodyText"/>
      </w:pPr>
    </w:p>
    <w:p w14:paraId="4C1EE5D8" w14:textId="2A096EEA" w:rsidR="0039461D" w:rsidRPr="000C6DC4" w:rsidRDefault="005A5142" w:rsidP="0039461D">
      <w:pPr>
        <w:pStyle w:val="BodyText"/>
      </w:pPr>
      <w:r w:rsidRPr="000C6DC4">
        <w:t>Aboriginal and Torres Strait Islander housing groups, or peak bodies will be actively encouraged to apply.  At least one member of the</w:t>
      </w:r>
      <w:r w:rsidR="0039461D" w:rsidRPr="000C6DC4">
        <w:t xml:space="preserve"> Working Group will identify as an Aboriginal or Torres Strait Islander and be an advocate for Aboriginal community needs. </w:t>
      </w:r>
    </w:p>
    <w:p w14:paraId="72B95E07" w14:textId="4C592BED" w:rsidR="00D141D9" w:rsidRPr="000C6DC4" w:rsidRDefault="00D141D9" w:rsidP="006C1711">
      <w:pPr>
        <w:pStyle w:val="BodyText"/>
      </w:pPr>
    </w:p>
    <w:p w14:paraId="011BDC55" w14:textId="19195C60" w:rsidR="00A4382F" w:rsidRPr="006C1711" w:rsidRDefault="00834666" w:rsidP="006C1711">
      <w:pPr>
        <w:pStyle w:val="BodyText"/>
      </w:pPr>
      <w:r>
        <w:t>M</w:t>
      </w:r>
      <w:r w:rsidR="00A4382F" w:rsidRPr="006C1711">
        <w:t>eetings will not be open to the public.</w:t>
      </w:r>
    </w:p>
    <w:p w14:paraId="476AAFA5" w14:textId="19CAFE96" w:rsidR="00483B7C" w:rsidRDefault="00483B7C" w:rsidP="006C1711">
      <w:pPr>
        <w:pStyle w:val="BodyText"/>
        <w:ind w:right="336"/>
      </w:pPr>
    </w:p>
    <w:p w14:paraId="1F61A00F" w14:textId="0891FD93" w:rsidR="00460565" w:rsidRDefault="00460565" w:rsidP="00460565">
      <w:pPr>
        <w:pStyle w:val="Heading1"/>
        <w:numPr>
          <w:ilvl w:val="0"/>
          <w:numId w:val="3"/>
        </w:numPr>
        <w:tabs>
          <w:tab w:val="left" w:pos="449"/>
        </w:tabs>
      </w:pPr>
      <w:r>
        <w:t>Working Group</w:t>
      </w:r>
      <w:r>
        <w:rPr>
          <w:spacing w:val="-3"/>
        </w:rPr>
        <w:t xml:space="preserve"> </w:t>
      </w:r>
      <w:r>
        <w:t>Selection</w:t>
      </w:r>
      <w:r>
        <w:rPr>
          <w:spacing w:val="-5"/>
        </w:rPr>
        <w:t xml:space="preserve"> </w:t>
      </w:r>
      <w:r>
        <w:t>Process</w:t>
      </w:r>
    </w:p>
    <w:p w14:paraId="7F461086" w14:textId="77777777" w:rsidR="00460565" w:rsidRDefault="00460565" w:rsidP="00460565">
      <w:pPr>
        <w:pStyle w:val="BodyText"/>
        <w:spacing w:before="2"/>
        <w:rPr>
          <w:b/>
        </w:rPr>
      </w:pPr>
    </w:p>
    <w:p w14:paraId="208CBB03" w14:textId="77777777" w:rsidR="00880C11" w:rsidRPr="00A62472" w:rsidRDefault="00880C11" w:rsidP="00880C11">
      <w:pPr>
        <w:pStyle w:val="BodyText"/>
        <w:rPr>
          <w:b/>
          <w:bCs/>
          <w:i/>
          <w:iCs/>
        </w:rPr>
      </w:pPr>
      <w:r w:rsidRPr="00A62472">
        <w:rPr>
          <w:b/>
          <w:bCs/>
          <w:i/>
          <w:iCs/>
        </w:rPr>
        <w:t>Representatives</w:t>
      </w:r>
    </w:p>
    <w:p w14:paraId="51EF2812" w14:textId="77777777" w:rsidR="00880C11" w:rsidRDefault="00880C11" w:rsidP="00880C11">
      <w:pPr>
        <w:pStyle w:val="BodyText"/>
      </w:pPr>
      <w:r>
        <w:t>The call for nominations for representatives from business, research, academic and peak body organisations are advised that applications will be assessed according to the following selection</w:t>
      </w:r>
      <w:r>
        <w:rPr>
          <w:spacing w:val="-2"/>
        </w:rPr>
        <w:t xml:space="preserve"> </w:t>
      </w:r>
      <w:r>
        <w:t>criteria:</w:t>
      </w:r>
    </w:p>
    <w:p w14:paraId="5EE12D67" w14:textId="77777777" w:rsidR="00880C11" w:rsidRDefault="00880C11" w:rsidP="00880C11">
      <w:pPr>
        <w:pStyle w:val="BodyText"/>
        <w:rPr>
          <w:sz w:val="21"/>
        </w:rPr>
      </w:pPr>
    </w:p>
    <w:p w14:paraId="6BBA6B2D" w14:textId="77777777" w:rsidR="00880C11" w:rsidRPr="00460565" w:rsidRDefault="00880C11" w:rsidP="00880C11">
      <w:pPr>
        <w:pStyle w:val="BodyText"/>
        <w:rPr>
          <w:b/>
          <w:bCs/>
          <w:i/>
          <w:iCs/>
        </w:rPr>
      </w:pPr>
      <w:r w:rsidRPr="00460565">
        <w:rPr>
          <w:i/>
          <w:iCs/>
        </w:rPr>
        <w:t>Selection</w:t>
      </w:r>
      <w:r w:rsidRPr="00460565">
        <w:rPr>
          <w:i/>
          <w:iCs/>
          <w:spacing w:val="-4"/>
        </w:rPr>
        <w:t xml:space="preserve"> </w:t>
      </w:r>
      <w:r w:rsidRPr="00460565">
        <w:rPr>
          <w:i/>
          <w:iCs/>
        </w:rPr>
        <w:t>Criteria</w:t>
      </w:r>
    </w:p>
    <w:p w14:paraId="65FC9426" w14:textId="63B4DB8A" w:rsidR="00880C11" w:rsidRDefault="00880C11" w:rsidP="00880C11">
      <w:pPr>
        <w:pStyle w:val="BodyText"/>
        <w:numPr>
          <w:ilvl w:val="0"/>
          <w:numId w:val="14"/>
        </w:numPr>
      </w:pPr>
      <w:r>
        <w:t>A requirement for nominees to live, work or study in or near the City of Sydney’s Local</w:t>
      </w:r>
      <w:r w:rsidRPr="006C1711">
        <w:rPr>
          <w:spacing w:val="-59"/>
        </w:rPr>
        <w:t xml:space="preserve"> </w:t>
      </w:r>
      <w:r>
        <w:t>Government</w:t>
      </w:r>
      <w:r w:rsidRPr="006C1711">
        <w:rPr>
          <w:spacing w:val="1"/>
        </w:rPr>
        <w:t xml:space="preserve"> </w:t>
      </w:r>
      <w:proofErr w:type="gramStart"/>
      <w:r>
        <w:t>Area;</w:t>
      </w:r>
      <w:proofErr w:type="gramEnd"/>
    </w:p>
    <w:p w14:paraId="25CC6B25" w14:textId="77777777" w:rsidR="00880C11" w:rsidRDefault="00880C11" w:rsidP="00880C11">
      <w:pPr>
        <w:pStyle w:val="BodyText"/>
        <w:numPr>
          <w:ilvl w:val="0"/>
          <w:numId w:val="14"/>
        </w:numPr>
      </w:pPr>
      <w:r>
        <w:t>A</w:t>
      </w:r>
      <w:r w:rsidRPr="006C1711">
        <w:rPr>
          <w:spacing w:val="-3"/>
        </w:rPr>
        <w:t xml:space="preserve"> </w:t>
      </w:r>
      <w:r>
        <w:t>statement of purpose</w:t>
      </w:r>
      <w:r w:rsidRPr="006C1711">
        <w:rPr>
          <w:spacing w:val="-6"/>
        </w:rPr>
        <w:t xml:space="preserve"> </w:t>
      </w:r>
      <w:r>
        <w:t>by</w:t>
      </w:r>
      <w:r w:rsidRPr="006C1711">
        <w:rPr>
          <w:spacing w:val="-3"/>
        </w:rPr>
        <w:t xml:space="preserve"> </w:t>
      </w:r>
      <w:r>
        <w:t>the</w:t>
      </w:r>
      <w:r w:rsidRPr="006C1711">
        <w:rPr>
          <w:spacing w:val="-2"/>
        </w:rPr>
        <w:t xml:space="preserve"> </w:t>
      </w:r>
      <w:r>
        <w:t>nominee,</w:t>
      </w:r>
      <w:r w:rsidRPr="006C1711">
        <w:rPr>
          <w:spacing w:val="-3"/>
        </w:rPr>
        <w:t xml:space="preserve"> </w:t>
      </w:r>
      <w:r>
        <w:t>that</w:t>
      </w:r>
      <w:r w:rsidRPr="006C1711">
        <w:rPr>
          <w:spacing w:val="-3"/>
        </w:rPr>
        <w:t xml:space="preserve"> </w:t>
      </w:r>
      <w:r>
        <w:t>is,</w:t>
      </w:r>
      <w:r w:rsidRPr="006C1711">
        <w:rPr>
          <w:spacing w:val="-2"/>
        </w:rPr>
        <w:t xml:space="preserve"> </w:t>
      </w:r>
      <w:r>
        <w:t>their</w:t>
      </w:r>
      <w:r w:rsidRPr="006C1711">
        <w:rPr>
          <w:spacing w:val="-1"/>
        </w:rPr>
        <w:t xml:space="preserve"> </w:t>
      </w:r>
      <w:r>
        <w:t>reason</w:t>
      </w:r>
      <w:r w:rsidRPr="006C1711">
        <w:rPr>
          <w:spacing w:val="-5"/>
        </w:rPr>
        <w:t xml:space="preserve"> </w:t>
      </w:r>
      <w:r>
        <w:t>for nominating;</w:t>
      </w:r>
      <w:r w:rsidRPr="006C1711">
        <w:rPr>
          <w:spacing w:val="-1"/>
        </w:rPr>
        <w:t xml:space="preserve"> </w:t>
      </w:r>
      <w:r>
        <w:t>and</w:t>
      </w:r>
    </w:p>
    <w:p w14:paraId="2E372F27" w14:textId="77777777" w:rsidR="00880C11" w:rsidRDefault="00880C11" w:rsidP="00880C11">
      <w:pPr>
        <w:pStyle w:val="BodyText"/>
        <w:numPr>
          <w:ilvl w:val="0"/>
          <w:numId w:val="14"/>
        </w:numPr>
      </w:pPr>
      <w:r>
        <w:t>A list of the skills, knowledge and/or experience they will bring to the working group in</w:t>
      </w:r>
      <w:r w:rsidRPr="006C1711">
        <w:rPr>
          <w:spacing w:val="-59"/>
        </w:rPr>
        <w:t xml:space="preserve"> </w:t>
      </w:r>
      <w:r>
        <w:t>affordable and diverse housing.</w:t>
      </w:r>
    </w:p>
    <w:p w14:paraId="4CC9AC3D" w14:textId="77777777" w:rsidR="00880C11" w:rsidRDefault="00880C11" w:rsidP="00880C11">
      <w:pPr>
        <w:pStyle w:val="BodyText"/>
      </w:pPr>
    </w:p>
    <w:p w14:paraId="39674367" w14:textId="1618B44D" w:rsidR="00880C11" w:rsidRDefault="00880C11" w:rsidP="00880C11">
      <w:pPr>
        <w:pStyle w:val="BodyText"/>
      </w:pPr>
      <w:r w:rsidRPr="006C1711">
        <w:t xml:space="preserve">Following the call for </w:t>
      </w:r>
      <w:r>
        <w:t>representatives</w:t>
      </w:r>
      <w:r w:rsidRPr="006C1711">
        <w:t xml:space="preserve">, applications for the </w:t>
      </w:r>
      <w:r>
        <w:t>advisory panel</w:t>
      </w:r>
      <w:r w:rsidRPr="006C1711">
        <w:t xml:space="preserve"> group will be assessed against the selection criteria by a panel comprising City of Sydney officers.</w:t>
      </w:r>
      <w:r>
        <w:t xml:space="preserve"> </w:t>
      </w:r>
    </w:p>
    <w:p w14:paraId="49918C40" w14:textId="77777777" w:rsidR="00880C11" w:rsidRDefault="00880C11" w:rsidP="00880C11">
      <w:pPr>
        <w:pStyle w:val="BodyText"/>
      </w:pPr>
    </w:p>
    <w:p w14:paraId="6FBE582D" w14:textId="77777777" w:rsidR="00880C11" w:rsidRDefault="00880C11" w:rsidP="00880C11">
      <w:pPr>
        <w:pStyle w:val="BodyText"/>
      </w:pPr>
      <w:r w:rsidRPr="006C1711">
        <w:t xml:space="preserve">The City’s Chief Executive Officer will make the decision on </w:t>
      </w:r>
      <w:r>
        <w:t xml:space="preserve">representative </w:t>
      </w:r>
      <w:r w:rsidRPr="006C1711">
        <w:t>appointments.</w:t>
      </w:r>
      <w:r>
        <w:t xml:space="preserve"> </w:t>
      </w:r>
      <w:r w:rsidRPr="006C1711">
        <w:t>Applicants will be advised in writing of the outcome of their nomination.</w:t>
      </w:r>
    </w:p>
    <w:p w14:paraId="7449A9E2" w14:textId="77777777" w:rsidR="00880C11" w:rsidRDefault="00880C11" w:rsidP="00880C11">
      <w:pPr>
        <w:pStyle w:val="BodyText"/>
      </w:pPr>
    </w:p>
    <w:p w14:paraId="490746E6" w14:textId="77777777" w:rsidR="00880C11" w:rsidRPr="00A62472" w:rsidRDefault="00880C11" w:rsidP="00880C11">
      <w:pPr>
        <w:pStyle w:val="BodyText"/>
        <w:rPr>
          <w:b/>
          <w:bCs/>
          <w:i/>
          <w:iCs/>
        </w:rPr>
      </w:pPr>
      <w:r>
        <w:rPr>
          <w:b/>
          <w:bCs/>
          <w:i/>
          <w:iCs/>
        </w:rPr>
        <w:t>Nomine</w:t>
      </w:r>
      <w:r w:rsidRPr="00A62472">
        <w:rPr>
          <w:b/>
          <w:bCs/>
          <w:i/>
          <w:iCs/>
        </w:rPr>
        <w:t>es</w:t>
      </w:r>
    </w:p>
    <w:p w14:paraId="3737D2E0" w14:textId="77777777" w:rsidR="00880C11" w:rsidRPr="006C1711" w:rsidRDefault="00880C11" w:rsidP="00880C11">
      <w:pPr>
        <w:pStyle w:val="BodyText"/>
      </w:pPr>
      <w:r>
        <w:t>Other members will be nominated by their respective agency.</w:t>
      </w:r>
    </w:p>
    <w:p w14:paraId="49899E18" w14:textId="34C81067" w:rsidR="00460565" w:rsidRPr="000C6DC4" w:rsidRDefault="00460565" w:rsidP="00460565">
      <w:pPr>
        <w:pStyle w:val="BodyText"/>
      </w:pPr>
    </w:p>
    <w:p w14:paraId="2E997BB7" w14:textId="2958E59C" w:rsidR="000C6DC4" w:rsidRPr="000C6DC4" w:rsidRDefault="000C6DC4" w:rsidP="000C6DC4">
      <w:r w:rsidRPr="000C6DC4">
        <w:t>We encourage all applicants, including Aboriginal and Torres Strait Islander people, Australian South Sea Islander people, people with disability, LGBTIQ</w:t>
      </w:r>
      <w:r w:rsidR="00014F46">
        <w:t>A+</w:t>
      </w:r>
      <w:r w:rsidRPr="000C6DC4">
        <w:t xml:space="preserve"> and</w:t>
      </w:r>
      <w:r w:rsidR="0044741B">
        <w:t xml:space="preserve"> people from</w:t>
      </w:r>
      <w:r w:rsidRPr="000C6DC4">
        <w:t xml:space="preserve"> culturally diverse communities to nominate for these groups.</w:t>
      </w:r>
    </w:p>
    <w:p w14:paraId="512BDE51" w14:textId="77777777" w:rsidR="000C6DC4" w:rsidRPr="000C6DC4" w:rsidRDefault="000C6DC4" w:rsidP="000C6DC4"/>
    <w:p w14:paraId="3309808C" w14:textId="59C2E7F3" w:rsidR="00F52BA7" w:rsidRDefault="000C6DC4" w:rsidP="000C6DC4">
      <w:pPr>
        <w:rPr>
          <w:b/>
          <w:bCs/>
        </w:rPr>
      </w:pPr>
      <w:r w:rsidRPr="000C6DC4">
        <w:t>The City will provide reasonable adjustments for individuals with disability throughout the nomination process. If you identify as a person with disability and require adjustments to the application, selection and/or assessment process, please use the contact details listed for each group or call 02 9265 9333 and indicate your preferred method of communication (email or phone).</w:t>
      </w:r>
      <w:r w:rsidRPr="000C6DC4">
        <w:rPr>
          <w:b/>
          <w:bCs/>
        </w:rPr>
        <w:t xml:space="preserve">  </w:t>
      </w:r>
    </w:p>
    <w:p w14:paraId="25494E5D" w14:textId="08500DA5" w:rsidR="000C6DC4" w:rsidRDefault="000C6DC4" w:rsidP="000C6DC4">
      <w:pPr>
        <w:rPr>
          <w:b/>
          <w:bCs/>
        </w:rPr>
      </w:pPr>
    </w:p>
    <w:p w14:paraId="02282DD7" w14:textId="77777777" w:rsidR="000C6DC4" w:rsidRDefault="000C6DC4" w:rsidP="000C6DC4">
      <w:pPr>
        <w:rPr>
          <w:b/>
          <w:bCs/>
        </w:rPr>
      </w:pPr>
    </w:p>
    <w:p w14:paraId="7A29FD15" w14:textId="639DAD2D" w:rsidR="003A5363" w:rsidRPr="003A5363" w:rsidRDefault="003A5363" w:rsidP="003A5363">
      <w:pPr>
        <w:pStyle w:val="BodyText"/>
        <w:numPr>
          <w:ilvl w:val="0"/>
          <w:numId w:val="3"/>
        </w:numPr>
        <w:rPr>
          <w:b/>
          <w:bCs/>
        </w:rPr>
      </w:pPr>
      <w:r w:rsidRPr="003A5363">
        <w:rPr>
          <w:b/>
          <w:bCs/>
        </w:rPr>
        <w:t xml:space="preserve">Term </w:t>
      </w:r>
    </w:p>
    <w:p w14:paraId="508165D8" w14:textId="77777777" w:rsidR="003A5363" w:rsidRDefault="003A5363" w:rsidP="003A5363">
      <w:pPr>
        <w:pStyle w:val="BodyText"/>
      </w:pPr>
    </w:p>
    <w:p w14:paraId="2911A191" w14:textId="53FF0D82" w:rsidR="00AE392A" w:rsidRDefault="00AE392A" w:rsidP="00AE392A">
      <w:pPr>
        <w:rPr>
          <w:rFonts w:eastAsiaTheme="minorHAnsi"/>
        </w:rPr>
      </w:pPr>
      <w:r>
        <w:t>The Advisory Panel will be convened for a three-year period.</w:t>
      </w:r>
      <w:r>
        <w:rPr>
          <w:rFonts w:eastAsiaTheme="minorHAnsi"/>
        </w:rPr>
        <w:t xml:space="preserve"> </w:t>
      </w:r>
    </w:p>
    <w:p w14:paraId="24700933" w14:textId="77777777" w:rsidR="00AE392A" w:rsidRDefault="00AE392A" w:rsidP="00AE392A">
      <w:pPr>
        <w:rPr>
          <w:rFonts w:eastAsiaTheme="minorHAnsi"/>
        </w:rPr>
      </w:pPr>
    </w:p>
    <w:p w14:paraId="791DB4FA" w14:textId="77777777" w:rsidR="00AE392A" w:rsidRDefault="00AE392A" w:rsidP="00AE392A">
      <w:pPr>
        <w:rPr>
          <w:rFonts w:eastAsiaTheme="minorHAnsi"/>
        </w:rPr>
      </w:pPr>
      <w:r>
        <w:t>Members will be appointed for a term up to three years. Members may be eligible for re-appointment for a further three-year term.</w:t>
      </w:r>
      <w:r>
        <w:rPr>
          <w:rFonts w:eastAsiaTheme="minorHAnsi"/>
        </w:rPr>
        <w:t xml:space="preserve"> </w:t>
      </w:r>
    </w:p>
    <w:p w14:paraId="03B4D7A8" w14:textId="77777777" w:rsidR="00AE392A" w:rsidRDefault="00AE392A" w:rsidP="00AE392A">
      <w:pPr>
        <w:rPr>
          <w:rFonts w:eastAsiaTheme="minorHAnsi"/>
        </w:rPr>
      </w:pPr>
    </w:p>
    <w:p w14:paraId="76B03511" w14:textId="7AB60AB1" w:rsidR="00774560" w:rsidRPr="00AE392A" w:rsidRDefault="00AE392A" w:rsidP="00774560">
      <w:r>
        <w:t>Regardless of the date of appointment, the first term of the Panel will end in December 2025.</w:t>
      </w:r>
    </w:p>
    <w:p w14:paraId="16EB857B" w14:textId="77777777" w:rsidR="00460565" w:rsidRDefault="00460565" w:rsidP="00324804">
      <w:pPr>
        <w:pStyle w:val="BodyText"/>
        <w:ind w:right="336"/>
      </w:pPr>
    </w:p>
    <w:p w14:paraId="7351900C" w14:textId="2B4F283C" w:rsidR="00483B7C" w:rsidRPr="00E35AEA" w:rsidRDefault="00E35AEA" w:rsidP="00E35AEA">
      <w:pPr>
        <w:pStyle w:val="BodyText"/>
        <w:numPr>
          <w:ilvl w:val="0"/>
          <w:numId w:val="3"/>
        </w:numPr>
        <w:ind w:right="336"/>
        <w:rPr>
          <w:b/>
          <w:bCs/>
        </w:rPr>
      </w:pPr>
      <w:r w:rsidRPr="00E35AEA">
        <w:rPr>
          <w:b/>
          <w:bCs/>
        </w:rPr>
        <w:t>Meeting</w:t>
      </w:r>
      <w:r w:rsidR="00D93B0D">
        <w:rPr>
          <w:b/>
          <w:bCs/>
        </w:rPr>
        <w:t xml:space="preserve"> </w:t>
      </w:r>
      <w:r w:rsidR="00A4382F">
        <w:rPr>
          <w:b/>
          <w:bCs/>
        </w:rPr>
        <w:t>operation</w:t>
      </w:r>
      <w:r w:rsidR="00D93B0D">
        <w:rPr>
          <w:b/>
          <w:bCs/>
        </w:rPr>
        <w:t xml:space="preserve"> and protocol</w:t>
      </w:r>
    </w:p>
    <w:p w14:paraId="24CAC7DA" w14:textId="1261C5EC" w:rsidR="00E35AEA" w:rsidRPr="00324804" w:rsidRDefault="00E35AEA" w:rsidP="00324804">
      <w:pPr>
        <w:pStyle w:val="BodyText"/>
      </w:pPr>
    </w:p>
    <w:p w14:paraId="057F3D29" w14:textId="02BB0D1B" w:rsidR="00DD24BD" w:rsidRPr="006C1711" w:rsidRDefault="00394A9F" w:rsidP="006C1711">
      <w:pPr>
        <w:pStyle w:val="BodyText"/>
      </w:pPr>
      <w:r w:rsidRPr="006C1711">
        <w:t xml:space="preserve">The </w:t>
      </w:r>
      <w:r w:rsidR="007B17F8" w:rsidRPr="006C1711">
        <w:t>working group</w:t>
      </w:r>
      <w:r w:rsidRPr="006C1711">
        <w:t xml:space="preserve"> will meet approximately four times a year</w:t>
      </w:r>
      <w:r w:rsidR="006707D7" w:rsidRPr="006C1711">
        <w:t xml:space="preserve">, or as need requires, </w:t>
      </w:r>
      <w:r w:rsidRPr="006C1711">
        <w:t>on dates to be set out in advance for each year.</w:t>
      </w:r>
      <w:r w:rsidR="00A4382F" w:rsidRPr="006C1711">
        <w:t xml:space="preserve"> Each meeting will be approximately 1.5 hours duration.</w:t>
      </w:r>
    </w:p>
    <w:p w14:paraId="50A761EA" w14:textId="40641CD5" w:rsidR="00A4382F" w:rsidRPr="006C1711" w:rsidRDefault="00A4382F" w:rsidP="006C1711">
      <w:pPr>
        <w:pStyle w:val="BodyText"/>
      </w:pPr>
    </w:p>
    <w:p w14:paraId="534E2D0D" w14:textId="77777777" w:rsidR="00F52BA7" w:rsidRPr="006C1711" w:rsidRDefault="00F52BA7" w:rsidP="00F52BA7">
      <w:pPr>
        <w:pStyle w:val="BodyText"/>
      </w:pPr>
      <w:r w:rsidRPr="006C1711">
        <w:t xml:space="preserve">The City will provide secretariat services, including the preparation of meeting papers and minutes. Working group comments will be recorded in the meeting minutes, prepared by City </w:t>
      </w:r>
      <w:proofErr w:type="gramStart"/>
      <w:r w:rsidRPr="006C1711">
        <w:t>staff</w:t>
      </w:r>
      <w:proofErr w:type="gramEnd"/>
      <w:r w:rsidRPr="006C1711">
        <w:t xml:space="preserve"> and agreed to by working group members. All agendas will be listed in the Councillor Diary and minutes will be circulate to all Councillors by way of CEO Update.</w:t>
      </w:r>
    </w:p>
    <w:p w14:paraId="79233631" w14:textId="77777777" w:rsidR="00F52BA7" w:rsidRPr="006C1711" w:rsidRDefault="00F52BA7" w:rsidP="00F52BA7">
      <w:pPr>
        <w:pStyle w:val="BodyText"/>
      </w:pPr>
    </w:p>
    <w:p w14:paraId="56E2FA46" w14:textId="77777777" w:rsidR="00F52BA7" w:rsidRPr="006C1711" w:rsidRDefault="00F52BA7" w:rsidP="00F52BA7">
      <w:pPr>
        <w:pStyle w:val="BodyText"/>
      </w:pPr>
      <w:r w:rsidRPr="006C1711">
        <w:t>All comments provided by the working group will be formally responded to by City staff through minutes and meetings.</w:t>
      </w:r>
    </w:p>
    <w:p w14:paraId="0DDFC82D" w14:textId="5D0F0C69" w:rsidR="00A4382F" w:rsidRPr="006C1711" w:rsidRDefault="00A4382F" w:rsidP="006C1711">
      <w:pPr>
        <w:pStyle w:val="BodyText"/>
      </w:pPr>
    </w:p>
    <w:p w14:paraId="7BFA77A2" w14:textId="3DE74CD6" w:rsidR="00DD24BD" w:rsidRPr="006C1711" w:rsidRDefault="00D93B0D" w:rsidP="006C1711">
      <w:pPr>
        <w:pStyle w:val="BodyText"/>
      </w:pPr>
      <w:r w:rsidRPr="006C1711">
        <w:t>A member who has a pecuniary interest in a matter being considered at a meeting must disclose the existence and nature of the interest. A member having disclosed a pecuniary interest must not partake in any discussion</w:t>
      </w:r>
      <w:r w:rsidR="00CE1871" w:rsidRPr="006C1711">
        <w:t xml:space="preserve"> or decision related to that interest.</w:t>
      </w:r>
    </w:p>
    <w:p w14:paraId="6D7B81CF" w14:textId="362FDAC3" w:rsidR="00324804" w:rsidRPr="006C1711" w:rsidRDefault="00324804" w:rsidP="006C1711">
      <w:pPr>
        <w:pStyle w:val="BodyText"/>
      </w:pPr>
    </w:p>
    <w:p w14:paraId="64E8285B" w14:textId="0DBD2038" w:rsidR="00324804" w:rsidRPr="006C1711" w:rsidRDefault="00324804" w:rsidP="006C1711">
      <w:pPr>
        <w:pStyle w:val="BodyText"/>
      </w:pPr>
      <w:r w:rsidRPr="006C1711">
        <w:t xml:space="preserve">A member who has a non-pecuniary interest in a matter being considered at a meeting must disclose the existence and nature of the interest if the member could be influenced, or perceived to be influenced by the non-pecuniary interest. A member having disclosed a non-pecuniary interest must not be present at the meeting when the matter is being considered, </w:t>
      </w:r>
      <w:proofErr w:type="gramStart"/>
      <w:r w:rsidRPr="006C1711">
        <w:t>discussed</w:t>
      </w:r>
      <w:proofErr w:type="gramEnd"/>
      <w:r w:rsidRPr="006C1711">
        <w:t xml:space="preserve"> or voted on.</w:t>
      </w:r>
    </w:p>
    <w:p w14:paraId="73ACF877" w14:textId="4DC4EAF6" w:rsidR="00CE1871" w:rsidRPr="006C1711" w:rsidRDefault="00CE1871" w:rsidP="006C1711">
      <w:pPr>
        <w:pStyle w:val="BodyText"/>
      </w:pPr>
    </w:p>
    <w:p w14:paraId="1676B16B" w14:textId="5F1DFAAB" w:rsidR="00CE1871" w:rsidRPr="006C1711" w:rsidRDefault="00CE1871" w:rsidP="006C1711">
      <w:pPr>
        <w:pStyle w:val="BodyText"/>
      </w:pPr>
      <w:r w:rsidRPr="006C1711">
        <w:t>Key City staff will attend meetings as observers or specialist advisors.</w:t>
      </w:r>
    </w:p>
    <w:p w14:paraId="64E6C3A0" w14:textId="77777777" w:rsidR="00103BBE" w:rsidRPr="006C1711" w:rsidRDefault="00103BBE" w:rsidP="006C1711">
      <w:pPr>
        <w:pStyle w:val="BodyText"/>
      </w:pPr>
    </w:p>
    <w:p w14:paraId="4D943C83" w14:textId="475802FC" w:rsidR="00103BBE" w:rsidRPr="006C1711" w:rsidRDefault="00103BBE" w:rsidP="006C1711">
      <w:pPr>
        <w:pStyle w:val="BodyText"/>
      </w:pPr>
      <w:r w:rsidRPr="006C1711">
        <w:t>This working group is specifically an opportunity for input and engagement. It is not constituted as a committee of Council under the Local Government Act 1993, nor a sub-committee of the Central Sydney Planning Committee under the City of Sydney Act 1988. It does not take on any of the statutory roles of those bodies. All members of the working group are required to comply with all obligations under the City of Sydney Code of Conduct when participating in any activities associated with the working group.</w:t>
      </w:r>
    </w:p>
    <w:p w14:paraId="167756B7" w14:textId="7B4663CC" w:rsidR="00E20257" w:rsidRPr="006C1711" w:rsidRDefault="00E20257" w:rsidP="006C1711">
      <w:pPr>
        <w:pStyle w:val="BodyText"/>
      </w:pPr>
    </w:p>
    <w:p w14:paraId="369D8F10" w14:textId="1BD55271" w:rsidR="00D92872" w:rsidRPr="006C1711" w:rsidRDefault="00E20257" w:rsidP="006C1711">
      <w:pPr>
        <w:pStyle w:val="BodyText"/>
      </w:pPr>
      <w:r w:rsidRPr="006C1711">
        <w:t>The working group is not an executive panel and is not</w:t>
      </w:r>
      <w:r w:rsidR="00EA139E">
        <w:t xml:space="preserve"> </w:t>
      </w:r>
      <w:r w:rsidRPr="006C1711">
        <w:t>authorised to undertake work on behalf of the City of Sydney</w:t>
      </w:r>
      <w:r w:rsidR="005A5D14">
        <w:t xml:space="preserve"> or any other organisation</w:t>
      </w:r>
      <w:r w:rsidR="003711B2">
        <w:t xml:space="preserve"> represented at the working group</w:t>
      </w:r>
      <w:r w:rsidRPr="006C1711">
        <w:t>.</w:t>
      </w:r>
    </w:p>
    <w:p w14:paraId="3FC3C331" w14:textId="5F0AA660" w:rsidR="00E20257" w:rsidRPr="006C1711" w:rsidRDefault="00E20257" w:rsidP="006C1711">
      <w:pPr>
        <w:pStyle w:val="BodyText"/>
      </w:pPr>
      <w:r w:rsidRPr="006C1711">
        <w:t xml:space="preserve"> </w:t>
      </w:r>
    </w:p>
    <w:p w14:paraId="4AB63580" w14:textId="22D7C3A8" w:rsidR="00E20257" w:rsidRPr="006C1711" w:rsidRDefault="0085622E" w:rsidP="006C1711">
      <w:pPr>
        <w:pStyle w:val="BodyText"/>
      </w:pPr>
      <w:r>
        <w:t>Working group</w:t>
      </w:r>
      <w:r w:rsidR="00E20257" w:rsidRPr="006C1711">
        <w:t xml:space="preserve"> members are not authorised to represent the City in any communication with the public.</w:t>
      </w:r>
    </w:p>
    <w:p w14:paraId="42CA0867" w14:textId="16C75586" w:rsidR="00E35AEA" w:rsidRPr="006C1711" w:rsidRDefault="00E35AEA" w:rsidP="006C1711">
      <w:pPr>
        <w:pStyle w:val="BodyText"/>
      </w:pPr>
    </w:p>
    <w:p w14:paraId="7828B358" w14:textId="55B24D21" w:rsidR="006C1711" w:rsidRDefault="00100EAB" w:rsidP="006C1711">
      <w:pPr>
        <w:pStyle w:val="BodyText"/>
      </w:pPr>
      <w:r>
        <w:t>M</w:t>
      </w:r>
      <w:r w:rsidR="006C1711" w:rsidRPr="006C1711">
        <w:t>embers</w:t>
      </w:r>
      <w:r>
        <w:t xml:space="preserve"> </w:t>
      </w:r>
      <w:r w:rsidRPr="000C6DC4">
        <w:t>who attend meetings as individual</w:t>
      </w:r>
      <w:r w:rsidR="009148B5" w:rsidRPr="000C6DC4">
        <w:t xml:space="preserve">s </w:t>
      </w:r>
      <w:r w:rsidRPr="000C6DC4">
        <w:t xml:space="preserve">and </w:t>
      </w:r>
      <w:r w:rsidR="006C1711" w:rsidRPr="000C6DC4">
        <w:t xml:space="preserve">do not represent an organisation or </w:t>
      </w:r>
      <w:r w:rsidR="006C1711" w:rsidRPr="000C6DC4">
        <w:lastRenderedPageBreak/>
        <w:t>agency</w:t>
      </w:r>
      <w:r w:rsidR="009148B5" w:rsidRPr="000C6DC4">
        <w:t>, for example community members or ind</w:t>
      </w:r>
      <w:r w:rsidR="003952EE" w:rsidRPr="000C6DC4">
        <w:t>ividual</w:t>
      </w:r>
      <w:r w:rsidR="009148B5" w:rsidRPr="000C6DC4">
        <w:t xml:space="preserve"> experts,</w:t>
      </w:r>
      <w:r w:rsidR="006C1711" w:rsidRPr="000C6DC4">
        <w:t xml:space="preserve"> will be paid a fee for each meeting they attend</w:t>
      </w:r>
      <w:r w:rsidR="009148B5" w:rsidRPr="000C6DC4">
        <w:t>.</w:t>
      </w:r>
      <w:r w:rsidR="006C1711" w:rsidRPr="000C6DC4">
        <w:t xml:space="preserve"> An attendance register will be kept for all meetings for reimbursement </w:t>
      </w:r>
      <w:r w:rsidR="006C1711" w:rsidRPr="006C1711">
        <w:t>purposes.</w:t>
      </w:r>
    </w:p>
    <w:p w14:paraId="1C91290B" w14:textId="07E044EB" w:rsidR="0085622E" w:rsidRDefault="0085622E" w:rsidP="006C1711">
      <w:pPr>
        <w:pStyle w:val="BodyText"/>
      </w:pPr>
    </w:p>
    <w:p w14:paraId="42D0C51D" w14:textId="77777777" w:rsidR="00E35AEA" w:rsidRDefault="00E35AEA" w:rsidP="00E35AEA">
      <w:pPr>
        <w:pStyle w:val="BodyText"/>
        <w:ind w:right="336"/>
      </w:pPr>
    </w:p>
    <w:p w14:paraId="54CB4A8F" w14:textId="01C99B1C" w:rsidR="00483B7C" w:rsidRPr="00A22616" w:rsidRDefault="00A22616" w:rsidP="00483B7C">
      <w:pPr>
        <w:pStyle w:val="BodyText"/>
        <w:numPr>
          <w:ilvl w:val="0"/>
          <w:numId w:val="3"/>
        </w:numPr>
        <w:ind w:right="336"/>
        <w:rPr>
          <w:b/>
          <w:bCs/>
        </w:rPr>
      </w:pPr>
      <w:r>
        <w:rPr>
          <w:b/>
          <w:bCs/>
        </w:rPr>
        <w:t>Collaboration with</w:t>
      </w:r>
      <w:r w:rsidR="00483B7C" w:rsidRPr="00A22616">
        <w:rPr>
          <w:b/>
          <w:bCs/>
        </w:rPr>
        <w:t xml:space="preserve"> </w:t>
      </w:r>
      <w:r w:rsidR="00786337">
        <w:rPr>
          <w:b/>
          <w:bCs/>
        </w:rPr>
        <w:t xml:space="preserve">other </w:t>
      </w:r>
      <w:r w:rsidR="00483B7C" w:rsidRPr="00A22616">
        <w:rPr>
          <w:b/>
          <w:bCs/>
        </w:rPr>
        <w:t>committees and levels of government</w:t>
      </w:r>
    </w:p>
    <w:p w14:paraId="6952438D" w14:textId="64C98BED" w:rsidR="00483B7C" w:rsidRDefault="00483B7C" w:rsidP="00483B7C">
      <w:pPr>
        <w:pStyle w:val="BodyText"/>
        <w:ind w:right="336"/>
      </w:pPr>
    </w:p>
    <w:p w14:paraId="5EA8DD52" w14:textId="62D50588" w:rsidR="00DB6549" w:rsidRDefault="00AE173E" w:rsidP="006C1711">
      <w:pPr>
        <w:pStyle w:val="BodyText"/>
      </w:pPr>
      <w:r w:rsidRPr="006C1711">
        <w:t xml:space="preserve">The </w:t>
      </w:r>
      <w:r w:rsidR="004A4944" w:rsidRPr="006C1711">
        <w:t>working group</w:t>
      </w:r>
      <w:r w:rsidRPr="006C1711">
        <w:t xml:space="preserve"> </w:t>
      </w:r>
      <w:r w:rsidR="00B612A8" w:rsidRPr="006C1711">
        <w:t xml:space="preserve">will </w:t>
      </w:r>
      <w:r w:rsidR="00786337" w:rsidRPr="006C1711">
        <w:t>engage</w:t>
      </w:r>
      <w:r w:rsidR="006707D7" w:rsidRPr="006C1711">
        <w:t xml:space="preserve">, </w:t>
      </w:r>
      <w:proofErr w:type="gramStart"/>
      <w:r w:rsidR="006707D7" w:rsidRPr="006C1711">
        <w:t>connect</w:t>
      </w:r>
      <w:proofErr w:type="gramEnd"/>
      <w:r w:rsidR="00786337" w:rsidRPr="006C1711">
        <w:t xml:space="preserve"> and collaborate</w:t>
      </w:r>
      <w:r w:rsidR="00B612A8" w:rsidRPr="006C1711">
        <w:t xml:space="preserve"> with other relevant working groups and</w:t>
      </w:r>
      <w:r w:rsidR="006707D7" w:rsidRPr="006C1711">
        <w:t>/or</w:t>
      </w:r>
      <w:r w:rsidR="00B612A8" w:rsidRPr="006C1711">
        <w:t xml:space="preserve"> committees as required</w:t>
      </w:r>
      <w:r w:rsidR="006707D7" w:rsidRPr="006C1711">
        <w:t xml:space="preserve">. This will include, but not be limited to, </w:t>
      </w:r>
      <w:r w:rsidR="003A5363" w:rsidRPr="006C1711">
        <w:t xml:space="preserve">groups and/or committees formed by </w:t>
      </w:r>
      <w:r w:rsidR="006707D7" w:rsidRPr="006C1711">
        <w:t>other levels of government and</w:t>
      </w:r>
      <w:r w:rsidR="00786337" w:rsidRPr="006C1711">
        <w:t xml:space="preserve"> t</w:t>
      </w:r>
      <w:r w:rsidR="001F2A67" w:rsidRPr="006C1711">
        <w:t xml:space="preserve">he Resilient Sydney Affordable Housing Steering Committee. </w:t>
      </w:r>
      <w:r w:rsidR="006707D7" w:rsidRPr="006C1711">
        <w:t>Specifically, t</w:t>
      </w:r>
      <w:r w:rsidR="00786337" w:rsidRPr="006C1711">
        <w:t xml:space="preserve">he </w:t>
      </w:r>
      <w:r w:rsidR="004A4944" w:rsidRPr="006C1711">
        <w:t>working group</w:t>
      </w:r>
      <w:r w:rsidR="00786337" w:rsidRPr="006C1711">
        <w:t xml:space="preserve"> will </w:t>
      </w:r>
      <w:r w:rsidR="004A4944" w:rsidRPr="006C1711">
        <w:t>complement</w:t>
      </w:r>
      <w:r w:rsidR="00786337" w:rsidRPr="006C1711">
        <w:t xml:space="preserve"> the </w:t>
      </w:r>
      <w:r w:rsidR="006707D7" w:rsidRPr="006C1711">
        <w:t xml:space="preserve">role and </w:t>
      </w:r>
      <w:r w:rsidR="00786337" w:rsidRPr="006C1711">
        <w:t>work of the Resilient Sydney Affordable Housing Steering Committee</w:t>
      </w:r>
      <w:r w:rsidR="004A4944" w:rsidRPr="006C1711">
        <w:t xml:space="preserve"> and</w:t>
      </w:r>
      <w:r w:rsidR="00786337" w:rsidRPr="006C1711">
        <w:t xml:space="preserve"> seek to support key projects and initiatives</w:t>
      </w:r>
      <w:r w:rsidR="006707D7" w:rsidRPr="006C1711">
        <w:t xml:space="preserve"> where appropriate</w:t>
      </w:r>
      <w:r w:rsidR="00786337" w:rsidRPr="006C1711">
        <w:t>.</w:t>
      </w:r>
      <w:r w:rsidR="006707D7" w:rsidRPr="006C1711">
        <w:t xml:space="preserve"> </w:t>
      </w:r>
    </w:p>
    <w:p w14:paraId="21421923" w14:textId="7FCB0850" w:rsidR="002E5ED2" w:rsidRDefault="002E5ED2" w:rsidP="006C1711">
      <w:pPr>
        <w:pStyle w:val="BodyText"/>
      </w:pPr>
    </w:p>
    <w:p w14:paraId="593B93C8" w14:textId="3665733C" w:rsidR="002E5ED2" w:rsidRPr="006C1711" w:rsidRDefault="002E5ED2" w:rsidP="002E5ED2">
      <w:pPr>
        <w:pStyle w:val="BodyText"/>
      </w:pPr>
    </w:p>
    <w:p w14:paraId="2B0AD289" w14:textId="7F2CFC84" w:rsidR="002E5ED2" w:rsidRPr="0085622E" w:rsidRDefault="0085622E" w:rsidP="0085622E">
      <w:pPr>
        <w:pStyle w:val="BodyText"/>
        <w:numPr>
          <w:ilvl w:val="0"/>
          <w:numId w:val="3"/>
        </w:numPr>
        <w:rPr>
          <w:b/>
          <w:bCs/>
        </w:rPr>
      </w:pPr>
      <w:r w:rsidRPr="0085622E">
        <w:rPr>
          <w:b/>
          <w:bCs/>
        </w:rPr>
        <w:t>Payment</w:t>
      </w:r>
    </w:p>
    <w:p w14:paraId="0DAF89B0" w14:textId="2241E3CE" w:rsidR="009115C6" w:rsidRDefault="009115C6" w:rsidP="0085622E"/>
    <w:p w14:paraId="381BF194" w14:textId="01BFB9E0" w:rsidR="009115C6" w:rsidRDefault="009115C6" w:rsidP="009115C6">
      <w:pPr>
        <w:pStyle w:val="BodyText"/>
      </w:pPr>
      <w:r>
        <w:t>The City may pay a Panel member fee of no more than $300 for each meeting they attend, however, government</w:t>
      </w:r>
      <w:r w:rsidR="0067272A">
        <w:t>, peak bodies</w:t>
      </w:r>
      <w:r>
        <w:t xml:space="preserve"> and large business representatives may be asked to opt out.  </w:t>
      </w:r>
    </w:p>
    <w:p w14:paraId="230F9DF9" w14:textId="77777777" w:rsidR="009115C6" w:rsidRDefault="009115C6" w:rsidP="009115C6">
      <w:pPr>
        <w:pStyle w:val="BodyText"/>
      </w:pPr>
    </w:p>
    <w:p w14:paraId="292C1FD1" w14:textId="77777777" w:rsidR="009115C6" w:rsidRDefault="009115C6" w:rsidP="009115C6">
      <w:pPr>
        <w:pStyle w:val="BodyText"/>
      </w:pPr>
      <w:r>
        <w:t>Panel members may be reimbursed out-of-pocket expenses incurred by attending the advisory panel meetings such as payment for transport expenses.</w:t>
      </w:r>
    </w:p>
    <w:p w14:paraId="1CCD5DE9" w14:textId="77777777" w:rsidR="009115C6" w:rsidRDefault="009115C6" w:rsidP="009115C6">
      <w:pPr>
        <w:pStyle w:val="BodyText"/>
      </w:pPr>
    </w:p>
    <w:p w14:paraId="0D9863FA" w14:textId="77777777" w:rsidR="009115C6" w:rsidRDefault="009115C6" w:rsidP="009115C6">
      <w:pPr>
        <w:pStyle w:val="BodyText"/>
      </w:pPr>
      <w:r>
        <w:t>Where applicable, panel meetings will be provided with translators, printed material in alternative formats or languages and/or other accessibility services.</w:t>
      </w:r>
    </w:p>
    <w:p w14:paraId="2A40275E" w14:textId="77777777" w:rsidR="009115C6" w:rsidRDefault="009115C6" w:rsidP="009115C6">
      <w:pPr>
        <w:pStyle w:val="BodyText"/>
      </w:pPr>
    </w:p>
    <w:p w14:paraId="54CD1885" w14:textId="77777777" w:rsidR="009115C6" w:rsidRDefault="009115C6" w:rsidP="0085622E">
      <w:pPr>
        <w:rPr>
          <w:rFonts w:ascii="Calibri" w:hAnsi="Calibri" w:cs="Calibri"/>
        </w:rPr>
      </w:pPr>
    </w:p>
    <w:p w14:paraId="61F1C633" w14:textId="77777777" w:rsidR="0085622E" w:rsidRPr="006C1711" w:rsidRDefault="0085622E" w:rsidP="006C1711">
      <w:pPr>
        <w:pStyle w:val="BodyText"/>
      </w:pPr>
    </w:p>
    <w:sectPr w:rsidR="0085622E" w:rsidRPr="006C1711" w:rsidSect="008E045F">
      <w:pgSz w:w="11910" w:h="16850"/>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51D1" w14:textId="77777777" w:rsidR="00235CEA" w:rsidRDefault="00235CEA" w:rsidP="00544BD4">
      <w:r>
        <w:separator/>
      </w:r>
    </w:p>
  </w:endnote>
  <w:endnote w:type="continuationSeparator" w:id="0">
    <w:p w14:paraId="7738F2C2" w14:textId="77777777" w:rsidR="00235CEA" w:rsidRDefault="00235CEA" w:rsidP="005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6532" w14:textId="77777777" w:rsidR="00235CEA" w:rsidRDefault="00235CEA" w:rsidP="00544BD4">
      <w:r>
        <w:separator/>
      </w:r>
    </w:p>
  </w:footnote>
  <w:footnote w:type="continuationSeparator" w:id="0">
    <w:p w14:paraId="38D7667A" w14:textId="77777777" w:rsidR="00235CEA" w:rsidRDefault="00235CEA" w:rsidP="0054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7BD"/>
    <w:multiLevelType w:val="hybridMultilevel"/>
    <w:tmpl w:val="2752D40A"/>
    <w:lvl w:ilvl="0" w:tplc="0094A478">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 w15:restartNumberingAfterBreak="0">
    <w:nsid w:val="0F2E1B2E"/>
    <w:multiLevelType w:val="hybridMultilevel"/>
    <w:tmpl w:val="E5545D6E"/>
    <w:lvl w:ilvl="0" w:tplc="CE423D8A">
      <w:start w:val="1"/>
      <w:numFmt w:val="lowerLetter"/>
      <w:lvlText w:val="(%1)"/>
      <w:lvlJc w:val="left"/>
      <w:pPr>
        <w:ind w:left="434" w:hanging="332"/>
        <w:jc w:val="left"/>
      </w:pPr>
      <w:rPr>
        <w:rFonts w:ascii="Arial" w:eastAsia="Arial" w:hAnsi="Arial" w:cs="Arial" w:hint="default"/>
        <w:b/>
        <w:bCs/>
        <w:i w:val="0"/>
        <w:iCs w:val="0"/>
        <w:spacing w:val="-1"/>
        <w:w w:val="100"/>
        <w:sz w:val="22"/>
        <w:szCs w:val="22"/>
        <w:lang w:val="en-AU" w:eastAsia="en-US" w:bidi="ar-SA"/>
      </w:rPr>
    </w:lvl>
    <w:lvl w:ilvl="1" w:tplc="467A22A0">
      <w:numFmt w:val="bullet"/>
      <w:lvlText w:val="•"/>
      <w:lvlJc w:val="left"/>
      <w:pPr>
        <w:ind w:left="1298" w:hanging="332"/>
      </w:pPr>
      <w:rPr>
        <w:rFonts w:hint="default"/>
        <w:lang w:val="en-AU" w:eastAsia="en-US" w:bidi="ar-SA"/>
      </w:rPr>
    </w:lvl>
    <w:lvl w:ilvl="2" w:tplc="C5BC7552">
      <w:numFmt w:val="bullet"/>
      <w:lvlText w:val="•"/>
      <w:lvlJc w:val="left"/>
      <w:pPr>
        <w:ind w:left="2156" w:hanging="332"/>
      </w:pPr>
      <w:rPr>
        <w:rFonts w:hint="default"/>
        <w:lang w:val="en-AU" w:eastAsia="en-US" w:bidi="ar-SA"/>
      </w:rPr>
    </w:lvl>
    <w:lvl w:ilvl="3" w:tplc="6360ED94">
      <w:numFmt w:val="bullet"/>
      <w:lvlText w:val="•"/>
      <w:lvlJc w:val="left"/>
      <w:pPr>
        <w:ind w:left="3015" w:hanging="332"/>
      </w:pPr>
      <w:rPr>
        <w:rFonts w:hint="default"/>
        <w:lang w:val="en-AU" w:eastAsia="en-US" w:bidi="ar-SA"/>
      </w:rPr>
    </w:lvl>
    <w:lvl w:ilvl="4" w:tplc="0B946CA8">
      <w:numFmt w:val="bullet"/>
      <w:lvlText w:val="•"/>
      <w:lvlJc w:val="left"/>
      <w:pPr>
        <w:ind w:left="3873" w:hanging="332"/>
      </w:pPr>
      <w:rPr>
        <w:rFonts w:hint="default"/>
        <w:lang w:val="en-AU" w:eastAsia="en-US" w:bidi="ar-SA"/>
      </w:rPr>
    </w:lvl>
    <w:lvl w:ilvl="5" w:tplc="CFF460BA">
      <w:numFmt w:val="bullet"/>
      <w:lvlText w:val="•"/>
      <w:lvlJc w:val="left"/>
      <w:pPr>
        <w:ind w:left="4732" w:hanging="332"/>
      </w:pPr>
      <w:rPr>
        <w:rFonts w:hint="default"/>
        <w:lang w:val="en-AU" w:eastAsia="en-US" w:bidi="ar-SA"/>
      </w:rPr>
    </w:lvl>
    <w:lvl w:ilvl="6" w:tplc="2990DF60">
      <w:numFmt w:val="bullet"/>
      <w:lvlText w:val="•"/>
      <w:lvlJc w:val="left"/>
      <w:pPr>
        <w:ind w:left="5590" w:hanging="332"/>
      </w:pPr>
      <w:rPr>
        <w:rFonts w:hint="default"/>
        <w:lang w:val="en-AU" w:eastAsia="en-US" w:bidi="ar-SA"/>
      </w:rPr>
    </w:lvl>
    <w:lvl w:ilvl="7" w:tplc="03646836">
      <w:numFmt w:val="bullet"/>
      <w:lvlText w:val="•"/>
      <w:lvlJc w:val="left"/>
      <w:pPr>
        <w:ind w:left="6448" w:hanging="332"/>
      </w:pPr>
      <w:rPr>
        <w:rFonts w:hint="default"/>
        <w:lang w:val="en-AU" w:eastAsia="en-US" w:bidi="ar-SA"/>
      </w:rPr>
    </w:lvl>
    <w:lvl w:ilvl="8" w:tplc="3F9A6684">
      <w:numFmt w:val="bullet"/>
      <w:lvlText w:val="•"/>
      <w:lvlJc w:val="left"/>
      <w:pPr>
        <w:ind w:left="7307" w:hanging="332"/>
      </w:pPr>
      <w:rPr>
        <w:rFonts w:hint="default"/>
        <w:lang w:val="en-AU" w:eastAsia="en-US" w:bidi="ar-SA"/>
      </w:rPr>
    </w:lvl>
  </w:abstractNum>
  <w:abstractNum w:abstractNumId="2" w15:restartNumberingAfterBreak="0">
    <w:nsid w:val="0F804667"/>
    <w:multiLevelType w:val="hybridMultilevel"/>
    <w:tmpl w:val="5EEA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6742F"/>
    <w:multiLevelType w:val="hybridMultilevel"/>
    <w:tmpl w:val="14DCB0EE"/>
    <w:lvl w:ilvl="0" w:tplc="4C50EB24">
      <w:numFmt w:val="bullet"/>
      <w:lvlText w:val=""/>
      <w:lvlJc w:val="left"/>
      <w:pPr>
        <w:ind w:left="462" w:hanging="361"/>
      </w:pPr>
      <w:rPr>
        <w:rFonts w:ascii="Symbol" w:eastAsia="Symbol" w:hAnsi="Symbol" w:cs="Symbol" w:hint="default"/>
        <w:b w:val="0"/>
        <w:bCs w:val="0"/>
        <w:i w:val="0"/>
        <w:iCs w:val="0"/>
        <w:w w:val="100"/>
        <w:sz w:val="22"/>
        <w:szCs w:val="22"/>
        <w:lang w:val="en-AU" w:eastAsia="en-US" w:bidi="ar-SA"/>
      </w:rPr>
    </w:lvl>
    <w:lvl w:ilvl="1" w:tplc="4E00D40E">
      <w:numFmt w:val="bullet"/>
      <w:lvlText w:val="•"/>
      <w:lvlJc w:val="left"/>
      <w:pPr>
        <w:ind w:left="1316" w:hanging="361"/>
      </w:pPr>
      <w:rPr>
        <w:rFonts w:hint="default"/>
        <w:lang w:val="en-AU" w:eastAsia="en-US" w:bidi="ar-SA"/>
      </w:rPr>
    </w:lvl>
    <w:lvl w:ilvl="2" w:tplc="BFD024BE">
      <w:numFmt w:val="bullet"/>
      <w:lvlText w:val="•"/>
      <w:lvlJc w:val="left"/>
      <w:pPr>
        <w:ind w:left="2172" w:hanging="361"/>
      </w:pPr>
      <w:rPr>
        <w:rFonts w:hint="default"/>
        <w:lang w:val="en-AU" w:eastAsia="en-US" w:bidi="ar-SA"/>
      </w:rPr>
    </w:lvl>
    <w:lvl w:ilvl="3" w:tplc="DD06B136">
      <w:numFmt w:val="bullet"/>
      <w:lvlText w:val="•"/>
      <w:lvlJc w:val="left"/>
      <w:pPr>
        <w:ind w:left="3029" w:hanging="361"/>
      </w:pPr>
      <w:rPr>
        <w:rFonts w:hint="default"/>
        <w:lang w:val="en-AU" w:eastAsia="en-US" w:bidi="ar-SA"/>
      </w:rPr>
    </w:lvl>
    <w:lvl w:ilvl="4" w:tplc="EF80BE6A">
      <w:numFmt w:val="bullet"/>
      <w:lvlText w:val="•"/>
      <w:lvlJc w:val="left"/>
      <w:pPr>
        <w:ind w:left="3885" w:hanging="361"/>
      </w:pPr>
      <w:rPr>
        <w:rFonts w:hint="default"/>
        <w:lang w:val="en-AU" w:eastAsia="en-US" w:bidi="ar-SA"/>
      </w:rPr>
    </w:lvl>
    <w:lvl w:ilvl="5" w:tplc="97BC9C68">
      <w:numFmt w:val="bullet"/>
      <w:lvlText w:val="•"/>
      <w:lvlJc w:val="left"/>
      <w:pPr>
        <w:ind w:left="4742" w:hanging="361"/>
      </w:pPr>
      <w:rPr>
        <w:rFonts w:hint="default"/>
        <w:lang w:val="en-AU" w:eastAsia="en-US" w:bidi="ar-SA"/>
      </w:rPr>
    </w:lvl>
    <w:lvl w:ilvl="6" w:tplc="A94C6238">
      <w:numFmt w:val="bullet"/>
      <w:lvlText w:val="•"/>
      <w:lvlJc w:val="left"/>
      <w:pPr>
        <w:ind w:left="5598" w:hanging="361"/>
      </w:pPr>
      <w:rPr>
        <w:rFonts w:hint="default"/>
        <w:lang w:val="en-AU" w:eastAsia="en-US" w:bidi="ar-SA"/>
      </w:rPr>
    </w:lvl>
    <w:lvl w:ilvl="7" w:tplc="90CEAA94">
      <w:numFmt w:val="bullet"/>
      <w:lvlText w:val="•"/>
      <w:lvlJc w:val="left"/>
      <w:pPr>
        <w:ind w:left="6454" w:hanging="361"/>
      </w:pPr>
      <w:rPr>
        <w:rFonts w:hint="default"/>
        <w:lang w:val="en-AU" w:eastAsia="en-US" w:bidi="ar-SA"/>
      </w:rPr>
    </w:lvl>
    <w:lvl w:ilvl="8" w:tplc="65829E76">
      <w:numFmt w:val="bullet"/>
      <w:lvlText w:val="•"/>
      <w:lvlJc w:val="left"/>
      <w:pPr>
        <w:ind w:left="7311" w:hanging="361"/>
      </w:pPr>
      <w:rPr>
        <w:rFonts w:hint="default"/>
        <w:lang w:val="en-AU" w:eastAsia="en-US" w:bidi="ar-SA"/>
      </w:rPr>
    </w:lvl>
  </w:abstractNum>
  <w:abstractNum w:abstractNumId="4" w15:restartNumberingAfterBreak="0">
    <w:nsid w:val="220002DD"/>
    <w:multiLevelType w:val="hybridMultilevel"/>
    <w:tmpl w:val="0D0A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125FC"/>
    <w:multiLevelType w:val="hybridMultilevel"/>
    <w:tmpl w:val="5CE63FE0"/>
    <w:lvl w:ilvl="0" w:tplc="1438ED6E">
      <w:start w:val="4"/>
      <w:numFmt w:val="bullet"/>
      <w:lvlText w:val=""/>
      <w:lvlJc w:val="left"/>
      <w:pPr>
        <w:ind w:left="462" w:hanging="360"/>
      </w:pPr>
      <w:rPr>
        <w:rFonts w:ascii="Symbol" w:eastAsia="Arial" w:hAnsi="Symbo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6" w15:restartNumberingAfterBreak="0">
    <w:nsid w:val="29FC6814"/>
    <w:multiLevelType w:val="hybridMultilevel"/>
    <w:tmpl w:val="4606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065DCD"/>
    <w:multiLevelType w:val="hybridMultilevel"/>
    <w:tmpl w:val="B1A0CC54"/>
    <w:lvl w:ilvl="0" w:tplc="6130D07E">
      <w:start w:val="1"/>
      <w:numFmt w:val="decimal"/>
      <w:lvlText w:val="%1."/>
      <w:lvlJc w:val="left"/>
      <w:pPr>
        <w:ind w:left="349" w:hanging="248"/>
        <w:jc w:val="left"/>
      </w:pPr>
      <w:rPr>
        <w:rFonts w:ascii="Arial" w:eastAsia="Arial" w:hAnsi="Arial" w:cs="Arial" w:hint="default"/>
        <w:b/>
        <w:bCs/>
        <w:i w:val="0"/>
        <w:iCs w:val="0"/>
        <w:spacing w:val="-1"/>
        <w:w w:val="100"/>
        <w:sz w:val="22"/>
        <w:szCs w:val="22"/>
        <w:lang w:val="en-AU" w:eastAsia="en-US" w:bidi="ar-SA"/>
      </w:rPr>
    </w:lvl>
    <w:lvl w:ilvl="1" w:tplc="E82EF016">
      <w:numFmt w:val="bullet"/>
      <w:lvlText w:val="•"/>
      <w:lvlJc w:val="left"/>
      <w:pPr>
        <w:ind w:left="1208" w:hanging="248"/>
      </w:pPr>
      <w:rPr>
        <w:rFonts w:hint="default"/>
        <w:lang w:val="en-AU" w:eastAsia="en-US" w:bidi="ar-SA"/>
      </w:rPr>
    </w:lvl>
    <w:lvl w:ilvl="2" w:tplc="0024C60C">
      <w:numFmt w:val="bullet"/>
      <w:lvlText w:val="•"/>
      <w:lvlJc w:val="left"/>
      <w:pPr>
        <w:ind w:left="2076" w:hanging="248"/>
      </w:pPr>
      <w:rPr>
        <w:rFonts w:hint="default"/>
        <w:lang w:val="en-AU" w:eastAsia="en-US" w:bidi="ar-SA"/>
      </w:rPr>
    </w:lvl>
    <w:lvl w:ilvl="3" w:tplc="39C49174">
      <w:numFmt w:val="bullet"/>
      <w:lvlText w:val="•"/>
      <w:lvlJc w:val="left"/>
      <w:pPr>
        <w:ind w:left="2945" w:hanging="248"/>
      </w:pPr>
      <w:rPr>
        <w:rFonts w:hint="default"/>
        <w:lang w:val="en-AU" w:eastAsia="en-US" w:bidi="ar-SA"/>
      </w:rPr>
    </w:lvl>
    <w:lvl w:ilvl="4" w:tplc="9F7E4998">
      <w:numFmt w:val="bullet"/>
      <w:lvlText w:val="•"/>
      <w:lvlJc w:val="left"/>
      <w:pPr>
        <w:ind w:left="3813" w:hanging="248"/>
      </w:pPr>
      <w:rPr>
        <w:rFonts w:hint="default"/>
        <w:lang w:val="en-AU" w:eastAsia="en-US" w:bidi="ar-SA"/>
      </w:rPr>
    </w:lvl>
    <w:lvl w:ilvl="5" w:tplc="AC746958">
      <w:numFmt w:val="bullet"/>
      <w:lvlText w:val="•"/>
      <w:lvlJc w:val="left"/>
      <w:pPr>
        <w:ind w:left="4682" w:hanging="248"/>
      </w:pPr>
      <w:rPr>
        <w:rFonts w:hint="default"/>
        <w:lang w:val="en-AU" w:eastAsia="en-US" w:bidi="ar-SA"/>
      </w:rPr>
    </w:lvl>
    <w:lvl w:ilvl="6" w:tplc="ED50A34C">
      <w:numFmt w:val="bullet"/>
      <w:lvlText w:val="•"/>
      <w:lvlJc w:val="left"/>
      <w:pPr>
        <w:ind w:left="5550" w:hanging="248"/>
      </w:pPr>
      <w:rPr>
        <w:rFonts w:hint="default"/>
        <w:lang w:val="en-AU" w:eastAsia="en-US" w:bidi="ar-SA"/>
      </w:rPr>
    </w:lvl>
    <w:lvl w:ilvl="7" w:tplc="14BA979A">
      <w:numFmt w:val="bullet"/>
      <w:lvlText w:val="•"/>
      <w:lvlJc w:val="left"/>
      <w:pPr>
        <w:ind w:left="6418" w:hanging="248"/>
      </w:pPr>
      <w:rPr>
        <w:rFonts w:hint="default"/>
        <w:lang w:val="en-AU" w:eastAsia="en-US" w:bidi="ar-SA"/>
      </w:rPr>
    </w:lvl>
    <w:lvl w:ilvl="8" w:tplc="6E449FFE">
      <w:numFmt w:val="bullet"/>
      <w:lvlText w:val="•"/>
      <w:lvlJc w:val="left"/>
      <w:pPr>
        <w:ind w:left="7287" w:hanging="248"/>
      </w:pPr>
      <w:rPr>
        <w:rFonts w:hint="default"/>
        <w:lang w:val="en-AU" w:eastAsia="en-US" w:bidi="ar-SA"/>
      </w:rPr>
    </w:lvl>
  </w:abstractNum>
  <w:abstractNum w:abstractNumId="8" w15:restartNumberingAfterBreak="0">
    <w:nsid w:val="626E6559"/>
    <w:multiLevelType w:val="hybridMultilevel"/>
    <w:tmpl w:val="A76A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D96962"/>
    <w:multiLevelType w:val="hybridMultilevel"/>
    <w:tmpl w:val="4C50E62C"/>
    <w:lvl w:ilvl="0" w:tplc="B6BE173E">
      <w:start w:val="1"/>
      <w:numFmt w:val="bullet"/>
      <w:lvlText w:val=""/>
      <w:lvlJc w:val="left"/>
      <w:pPr>
        <w:tabs>
          <w:tab w:val="num" w:pos="720"/>
        </w:tabs>
        <w:ind w:left="720" w:hanging="360"/>
      </w:pPr>
      <w:rPr>
        <w:rFonts w:ascii="Symbol" w:hAnsi="Symbol" w:hint="default"/>
      </w:rPr>
    </w:lvl>
    <w:lvl w:ilvl="1" w:tplc="ED625A70">
      <w:start w:val="1"/>
      <w:numFmt w:val="bullet"/>
      <w:lvlText w:val="o"/>
      <w:lvlJc w:val="left"/>
      <w:pPr>
        <w:tabs>
          <w:tab w:val="num" w:pos="1440"/>
        </w:tabs>
        <w:ind w:left="1440" w:hanging="360"/>
      </w:pPr>
      <w:rPr>
        <w:rFonts w:ascii="Courier New" w:hAnsi="Courier New" w:cs="Courier New" w:hint="default"/>
      </w:rPr>
    </w:lvl>
    <w:lvl w:ilvl="2" w:tplc="D62276C8" w:tentative="1">
      <w:start w:val="1"/>
      <w:numFmt w:val="bullet"/>
      <w:lvlText w:val=""/>
      <w:lvlJc w:val="left"/>
      <w:pPr>
        <w:tabs>
          <w:tab w:val="num" w:pos="2160"/>
        </w:tabs>
        <w:ind w:left="2160" w:hanging="360"/>
      </w:pPr>
      <w:rPr>
        <w:rFonts w:ascii="Wingdings" w:hAnsi="Wingdings" w:hint="default"/>
      </w:rPr>
    </w:lvl>
    <w:lvl w:ilvl="3" w:tplc="437A1F1E" w:tentative="1">
      <w:start w:val="1"/>
      <w:numFmt w:val="bullet"/>
      <w:lvlText w:val=""/>
      <w:lvlJc w:val="left"/>
      <w:pPr>
        <w:tabs>
          <w:tab w:val="num" w:pos="2880"/>
        </w:tabs>
        <w:ind w:left="2880" w:hanging="360"/>
      </w:pPr>
      <w:rPr>
        <w:rFonts w:ascii="Symbol" w:hAnsi="Symbol" w:hint="default"/>
      </w:rPr>
    </w:lvl>
    <w:lvl w:ilvl="4" w:tplc="24CAAF6E" w:tentative="1">
      <w:start w:val="1"/>
      <w:numFmt w:val="bullet"/>
      <w:lvlText w:val="o"/>
      <w:lvlJc w:val="left"/>
      <w:pPr>
        <w:tabs>
          <w:tab w:val="num" w:pos="3600"/>
        </w:tabs>
        <w:ind w:left="3600" w:hanging="360"/>
      </w:pPr>
      <w:rPr>
        <w:rFonts w:ascii="Courier New" w:hAnsi="Courier New" w:cs="Courier New" w:hint="default"/>
      </w:rPr>
    </w:lvl>
    <w:lvl w:ilvl="5" w:tplc="92C643DA" w:tentative="1">
      <w:start w:val="1"/>
      <w:numFmt w:val="bullet"/>
      <w:lvlText w:val=""/>
      <w:lvlJc w:val="left"/>
      <w:pPr>
        <w:tabs>
          <w:tab w:val="num" w:pos="4320"/>
        </w:tabs>
        <w:ind w:left="4320" w:hanging="360"/>
      </w:pPr>
      <w:rPr>
        <w:rFonts w:ascii="Wingdings" w:hAnsi="Wingdings" w:hint="default"/>
      </w:rPr>
    </w:lvl>
    <w:lvl w:ilvl="6" w:tplc="916C7790" w:tentative="1">
      <w:start w:val="1"/>
      <w:numFmt w:val="bullet"/>
      <w:lvlText w:val=""/>
      <w:lvlJc w:val="left"/>
      <w:pPr>
        <w:tabs>
          <w:tab w:val="num" w:pos="5040"/>
        </w:tabs>
        <w:ind w:left="5040" w:hanging="360"/>
      </w:pPr>
      <w:rPr>
        <w:rFonts w:ascii="Symbol" w:hAnsi="Symbol" w:hint="default"/>
      </w:rPr>
    </w:lvl>
    <w:lvl w:ilvl="7" w:tplc="4CD8632C" w:tentative="1">
      <w:start w:val="1"/>
      <w:numFmt w:val="bullet"/>
      <w:lvlText w:val="o"/>
      <w:lvlJc w:val="left"/>
      <w:pPr>
        <w:tabs>
          <w:tab w:val="num" w:pos="5760"/>
        </w:tabs>
        <w:ind w:left="5760" w:hanging="360"/>
      </w:pPr>
      <w:rPr>
        <w:rFonts w:ascii="Courier New" w:hAnsi="Courier New" w:cs="Courier New" w:hint="default"/>
      </w:rPr>
    </w:lvl>
    <w:lvl w:ilvl="8" w:tplc="2118EA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1168A"/>
    <w:multiLevelType w:val="hybridMultilevel"/>
    <w:tmpl w:val="A55E9570"/>
    <w:lvl w:ilvl="0" w:tplc="1438ED6E">
      <w:start w:val="4"/>
      <w:numFmt w:val="bullet"/>
      <w:lvlText w:val=""/>
      <w:lvlJc w:val="left"/>
      <w:pPr>
        <w:ind w:left="564" w:hanging="360"/>
      </w:pPr>
      <w:rPr>
        <w:rFonts w:ascii="Symbol" w:eastAsia="Arial" w:hAnsi="Symbo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75EB1411"/>
    <w:multiLevelType w:val="hybridMultilevel"/>
    <w:tmpl w:val="15E696B8"/>
    <w:lvl w:ilvl="0" w:tplc="8E9436E6">
      <w:start w:val="1"/>
      <w:numFmt w:val="bullet"/>
      <w:lvlText w:val="•"/>
      <w:lvlJc w:val="left"/>
      <w:pPr>
        <w:tabs>
          <w:tab w:val="num" w:pos="720"/>
        </w:tabs>
        <w:ind w:left="720" w:hanging="360"/>
      </w:pPr>
      <w:rPr>
        <w:rFonts w:ascii="Arial" w:hAnsi="Arial" w:hint="default"/>
      </w:rPr>
    </w:lvl>
    <w:lvl w:ilvl="1" w:tplc="9F2E47F2" w:tentative="1">
      <w:start w:val="1"/>
      <w:numFmt w:val="bullet"/>
      <w:lvlText w:val="•"/>
      <w:lvlJc w:val="left"/>
      <w:pPr>
        <w:tabs>
          <w:tab w:val="num" w:pos="1440"/>
        </w:tabs>
        <w:ind w:left="1440" w:hanging="360"/>
      </w:pPr>
      <w:rPr>
        <w:rFonts w:ascii="Arial" w:hAnsi="Arial" w:hint="default"/>
      </w:rPr>
    </w:lvl>
    <w:lvl w:ilvl="2" w:tplc="86F04382" w:tentative="1">
      <w:start w:val="1"/>
      <w:numFmt w:val="bullet"/>
      <w:lvlText w:val="•"/>
      <w:lvlJc w:val="left"/>
      <w:pPr>
        <w:tabs>
          <w:tab w:val="num" w:pos="2160"/>
        </w:tabs>
        <w:ind w:left="2160" w:hanging="360"/>
      </w:pPr>
      <w:rPr>
        <w:rFonts w:ascii="Arial" w:hAnsi="Arial" w:hint="default"/>
      </w:rPr>
    </w:lvl>
    <w:lvl w:ilvl="3" w:tplc="20DE606E" w:tentative="1">
      <w:start w:val="1"/>
      <w:numFmt w:val="bullet"/>
      <w:lvlText w:val="•"/>
      <w:lvlJc w:val="left"/>
      <w:pPr>
        <w:tabs>
          <w:tab w:val="num" w:pos="2880"/>
        </w:tabs>
        <w:ind w:left="2880" w:hanging="360"/>
      </w:pPr>
      <w:rPr>
        <w:rFonts w:ascii="Arial" w:hAnsi="Arial" w:hint="default"/>
      </w:rPr>
    </w:lvl>
    <w:lvl w:ilvl="4" w:tplc="B420B7C2" w:tentative="1">
      <w:start w:val="1"/>
      <w:numFmt w:val="bullet"/>
      <w:lvlText w:val="•"/>
      <w:lvlJc w:val="left"/>
      <w:pPr>
        <w:tabs>
          <w:tab w:val="num" w:pos="3600"/>
        </w:tabs>
        <w:ind w:left="3600" w:hanging="360"/>
      </w:pPr>
      <w:rPr>
        <w:rFonts w:ascii="Arial" w:hAnsi="Arial" w:hint="default"/>
      </w:rPr>
    </w:lvl>
    <w:lvl w:ilvl="5" w:tplc="0AC4458C" w:tentative="1">
      <w:start w:val="1"/>
      <w:numFmt w:val="bullet"/>
      <w:lvlText w:val="•"/>
      <w:lvlJc w:val="left"/>
      <w:pPr>
        <w:tabs>
          <w:tab w:val="num" w:pos="4320"/>
        </w:tabs>
        <w:ind w:left="4320" w:hanging="360"/>
      </w:pPr>
      <w:rPr>
        <w:rFonts w:ascii="Arial" w:hAnsi="Arial" w:hint="default"/>
      </w:rPr>
    </w:lvl>
    <w:lvl w:ilvl="6" w:tplc="56EAAD88" w:tentative="1">
      <w:start w:val="1"/>
      <w:numFmt w:val="bullet"/>
      <w:lvlText w:val="•"/>
      <w:lvlJc w:val="left"/>
      <w:pPr>
        <w:tabs>
          <w:tab w:val="num" w:pos="5040"/>
        </w:tabs>
        <w:ind w:left="5040" w:hanging="360"/>
      </w:pPr>
      <w:rPr>
        <w:rFonts w:ascii="Arial" w:hAnsi="Arial" w:hint="default"/>
      </w:rPr>
    </w:lvl>
    <w:lvl w:ilvl="7" w:tplc="EA067AAE" w:tentative="1">
      <w:start w:val="1"/>
      <w:numFmt w:val="bullet"/>
      <w:lvlText w:val="•"/>
      <w:lvlJc w:val="left"/>
      <w:pPr>
        <w:tabs>
          <w:tab w:val="num" w:pos="5760"/>
        </w:tabs>
        <w:ind w:left="5760" w:hanging="360"/>
      </w:pPr>
      <w:rPr>
        <w:rFonts w:ascii="Arial" w:hAnsi="Arial" w:hint="default"/>
      </w:rPr>
    </w:lvl>
    <w:lvl w:ilvl="8" w:tplc="F3C45A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5019B9"/>
    <w:multiLevelType w:val="hybridMultilevel"/>
    <w:tmpl w:val="015EF63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3" w15:restartNumberingAfterBreak="0">
    <w:nsid w:val="7F8A2F90"/>
    <w:multiLevelType w:val="hybridMultilevel"/>
    <w:tmpl w:val="D9B824CE"/>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10"/>
  </w:num>
  <w:num w:numId="7">
    <w:abstractNumId w:val="11"/>
  </w:num>
  <w:num w:numId="8">
    <w:abstractNumId w:val="9"/>
  </w:num>
  <w:num w:numId="9">
    <w:abstractNumId w:val="13"/>
  </w:num>
  <w:num w:numId="10">
    <w:abstractNumId w:val="2"/>
  </w:num>
  <w:num w:numId="11">
    <w:abstractNumId w:val="1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49"/>
    <w:rsid w:val="00014F46"/>
    <w:rsid w:val="00021E91"/>
    <w:rsid w:val="00033A62"/>
    <w:rsid w:val="00071DF1"/>
    <w:rsid w:val="00075AF4"/>
    <w:rsid w:val="000820B2"/>
    <w:rsid w:val="0009662B"/>
    <w:rsid w:val="000C6DC4"/>
    <w:rsid w:val="00100EAB"/>
    <w:rsid w:val="00103BBE"/>
    <w:rsid w:val="0015335D"/>
    <w:rsid w:val="00193D14"/>
    <w:rsid w:val="001B51D7"/>
    <w:rsid w:val="001C03E4"/>
    <w:rsid w:val="001D279D"/>
    <w:rsid w:val="001F2A67"/>
    <w:rsid w:val="00235CEA"/>
    <w:rsid w:val="00250A05"/>
    <w:rsid w:val="0025326B"/>
    <w:rsid w:val="002834BC"/>
    <w:rsid w:val="002C08D7"/>
    <w:rsid w:val="002E59E6"/>
    <w:rsid w:val="002E5ED2"/>
    <w:rsid w:val="00324804"/>
    <w:rsid w:val="00330C43"/>
    <w:rsid w:val="0035606C"/>
    <w:rsid w:val="003711B2"/>
    <w:rsid w:val="003806F0"/>
    <w:rsid w:val="0039461D"/>
    <w:rsid w:val="00394A9F"/>
    <w:rsid w:val="003952EE"/>
    <w:rsid w:val="003A01D3"/>
    <w:rsid w:val="003A0BE5"/>
    <w:rsid w:val="003A5363"/>
    <w:rsid w:val="003A7D18"/>
    <w:rsid w:val="003C2D56"/>
    <w:rsid w:val="00402ED4"/>
    <w:rsid w:val="00404A96"/>
    <w:rsid w:val="00422B6A"/>
    <w:rsid w:val="004436C1"/>
    <w:rsid w:val="0044741B"/>
    <w:rsid w:val="00460565"/>
    <w:rsid w:val="00472090"/>
    <w:rsid w:val="0048058F"/>
    <w:rsid w:val="00483B7C"/>
    <w:rsid w:val="004A29AD"/>
    <w:rsid w:val="004A4944"/>
    <w:rsid w:val="004A6B7C"/>
    <w:rsid w:val="004C2090"/>
    <w:rsid w:val="004E32AA"/>
    <w:rsid w:val="004F7E97"/>
    <w:rsid w:val="00502CDB"/>
    <w:rsid w:val="0050453F"/>
    <w:rsid w:val="00513FFB"/>
    <w:rsid w:val="00544BD4"/>
    <w:rsid w:val="00545E4F"/>
    <w:rsid w:val="00557C58"/>
    <w:rsid w:val="00561B89"/>
    <w:rsid w:val="00592727"/>
    <w:rsid w:val="005A5142"/>
    <w:rsid w:val="005A5D14"/>
    <w:rsid w:val="005C1772"/>
    <w:rsid w:val="005D030B"/>
    <w:rsid w:val="00603638"/>
    <w:rsid w:val="00605500"/>
    <w:rsid w:val="00647F28"/>
    <w:rsid w:val="006547BC"/>
    <w:rsid w:val="006707D7"/>
    <w:rsid w:val="0067272A"/>
    <w:rsid w:val="00680A4F"/>
    <w:rsid w:val="0068637E"/>
    <w:rsid w:val="006C1711"/>
    <w:rsid w:val="006C1BB2"/>
    <w:rsid w:val="006E7392"/>
    <w:rsid w:val="007310D0"/>
    <w:rsid w:val="0073403F"/>
    <w:rsid w:val="00744816"/>
    <w:rsid w:val="0075077C"/>
    <w:rsid w:val="00767044"/>
    <w:rsid w:val="00774560"/>
    <w:rsid w:val="00786337"/>
    <w:rsid w:val="007B17F8"/>
    <w:rsid w:val="007C2D64"/>
    <w:rsid w:val="007E678B"/>
    <w:rsid w:val="00834666"/>
    <w:rsid w:val="00835553"/>
    <w:rsid w:val="0085622E"/>
    <w:rsid w:val="00862879"/>
    <w:rsid w:val="00880C11"/>
    <w:rsid w:val="008B4D51"/>
    <w:rsid w:val="008C26A5"/>
    <w:rsid w:val="008E045F"/>
    <w:rsid w:val="008E571D"/>
    <w:rsid w:val="008E66BF"/>
    <w:rsid w:val="008F782D"/>
    <w:rsid w:val="009052F0"/>
    <w:rsid w:val="009115C6"/>
    <w:rsid w:val="009148B5"/>
    <w:rsid w:val="00922127"/>
    <w:rsid w:val="00953B34"/>
    <w:rsid w:val="009569A3"/>
    <w:rsid w:val="009B4313"/>
    <w:rsid w:val="009C05A6"/>
    <w:rsid w:val="00A21C25"/>
    <w:rsid w:val="00A22616"/>
    <w:rsid w:val="00A4382F"/>
    <w:rsid w:val="00A62472"/>
    <w:rsid w:val="00A660FF"/>
    <w:rsid w:val="00A71DD1"/>
    <w:rsid w:val="00AA54CA"/>
    <w:rsid w:val="00AC2915"/>
    <w:rsid w:val="00AC592B"/>
    <w:rsid w:val="00AD624C"/>
    <w:rsid w:val="00AE173E"/>
    <w:rsid w:val="00AE392A"/>
    <w:rsid w:val="00B05F64"/>
    <w:rsid w:val="00B3185B"/>
    <w:rsid w:val="00B443BC"/>
    <w:rsid w:val="00B612A8"/>
    <w:rsid w:val="00B95D5C"/>
    <w:rsid w:val="00BA06C2"/>
    <w:rsid w:val="00BA5480"/>
    <w:rsid w:val="00BB36B3"/>
    <w:rsid w:val="00BB7C34"/>
    <w:rsid w:val="00BB7CEA"/>
    <w:rsid w:val="00BB7D55"/>
    <w:rsid w:val="00BC08F7"/>
    <w:rsid w:val="00BC1D34"/>
    <w:rsid w:val="00BD2295"/>
    <w:rsid w:val="00BF24D4"/>
    <w:rsid w:val="00C22C98"/>
    <w:rsid w:val="00C34BD9"/>
    <w:rsid w:val="00C54ED9"/>
    <w:rsid w:val="00C912B7"/>
    <w:rsid w:val="00C9367B"/>
    <w:rsid w:val="00CC1793"/>
    <w:rsid w:val="00CE1871"/>
    <w:rsid w:val="00D03783"/>
    <w:rsid w:val="00D04607"/>
    <w:rsid w:val="00D04CEF"/>
    <w:rsid w:val="00D11C87"/>
    <w:rsid w:val="00D141D9"/>
    <w:rsid w:val="00D27DDE"/>
    <w:rsid w:val="00D54462"/>
    <w:rsid w:val="00D66453"/>
    <w:rsid w:val="00D74D84"/>
    <w:rsid w:val="00D85AF8"/>
    <w:rsid w:val="00D92872"/>
    <w:rsid w:val="00D93B0D"/>
    <w:rsid w:val="00DB6549"/>
    <w:rsid w:val="00DC4C9F"/>
    <w:rsid w:val="00DD24BD"/>
    <w:rsid w:val="00DD2914"/>
    <w:rsid w:val="00DE1325"/>
    <w:rsid w:val="00E17407"/>
    <w:rsid w:val="00E20257"/>
    <w:rsid w:val="00E35AEA"/>
    <w:rsid w:val="00E85973"/>
    <w:rsid w:val="00E90B65"/>
    <w:rsid w:val="00EA139E"/>
    <w:rsid w:val="00EC36CA"/>
    <w:rsid w:val="00ED5FD5"/>
    <w:rsid w:val="00EE376F"/>
    <w:rsid w:val="00F10F22"/>
    <w:rsid w:val="00F20511"/>
    <w:rsid w:val="00F52AE2"/>
    <w:rsid w:val="00F52BA7"/>
    <w:rsid w:val="00F749BF"/>
    <w:rsid w:val="00F91440"/>
    <w:rsid w:val="00F97D20"/>
    <w:rsid w:val="00FC2416"/>
    <w:rsid w:val="00FC3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DCE4"/>
  <w15:docId w15:val="{92012A61-B588-49AA-AFDF-7C64EA0A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03783"/>
    <w:rPr>
      <w:sz w:val="16"/>
      <w:szCs w:val="16"/>
    </w:rPr>
  </w:style>
  <w:style w:type="paragraph" w:styleId="CommentText">
    <w:name w:val="annotation text"/>
    <w:basedOn w:val="Normal"/>
    <w:link w:val="CommentTextChar"/>
    <w:uiPriority w:val="99"/>
    <w:semiHidden/>
    <w:unhideWhenUsed/>
    <w:rsid w:val="00D03783"/>
    <w:rPr>
      <w:sz w:val="20"/>
      <w:szCs w:val="20"/>
    </w:rPr>
  </w:style>
  <w:style w:type="character" w:customStyle="1" w:styleId="CommentTextChar">
    <w:name w:val="Comment Text Char"/>
    <w:basedOn w:val="DefaultParagraphFont"/>
    <w:link w:val="CommentText"/>
    <w:uiPriority w:val="99"/>
    <w:semiHidden/>
    <w:rsid w:val="00D03783"/>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03783"/>
    <w:rPr>
      <w:b/>
      <w:bCs/>
    </w:rPr>
  </w:style>
  <w:style w:type="character" w:customStyle="1" w:styleId="CommentSubjectChar">
    <w:name w:val="Comment Subject Char"/>
    <w:basedOn w:val="CommentTextChar"/>
    <w:link w:val="CommentSubject"/>
    <w:uiPriority w:val="99"/>
    <w:semiHidden/>
    <w:rsid w:val="00D03783"/>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D03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83"/>
    <w:rPr>
      <w:rFonts w:ascii="Segoe UI" w:eastAsia="Arial" w:hAnsi="Segoe UI" w:cs="Segoe UI"/>
      <w:sz w:val="18"/>
      <w:szCs w:val="18"/>
      <w:lang w:val="en-AU"/>
    </w:rPr>
  </w:style>
  <w:style w:type="paragraph" w:styleId="NormalWeb">
    <w:name w:val="Normal (Web)"/>
    <w:basedOn w:val="Normal"/>
    <w:uiPriority w:val="99"/>
    <w:unhideWhenUsed/>
    <w:rsid w:val="002834BC"/>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44BD4"/>
    <w:pPr>
      <w:tabs>
        <w:tab w:val="center" w:pos="4513"/>
        <w:tab w:val="right" w:pos="9026"/>
      </w:tabs>
    </w:pPr>
  </w:style>
  <w:style w:type="character" w:customStyle="1" w:styleId="HeaderChar">
    <w:name w:val="Header Char"/>
    <w:basedOn w:val="DefaultParagraphFont"/>
    <w:link w:val="Header"/>
    <w:uiPriority w:val="99"/>
    <w:rsid w:val="00544BD4"/>
    <w:rPr>
      <w:rFonts w:ascii="Arial" w:eastAsia="Arial" w:hAnsi="Arial" w:cs="Arial"/>
      <w:lang w:val="en-AU"/>
    </w:rPr>
  </w:style>
  <w:style w:type="paragraph" w:styleId="Footer">
    <w:name w:val="footer"/>
    <w:basedOn w:val="Normal"/>
    <w:link w:val="FooterChar"/>
    <w:uiPriority w:val="99"/>
    <w:unhideWhenUsed/>
    <w:rsid w:val="00544BD4"/>
    <w:pPr>
      <w:tabs>
        <w:tab w:val="center" w:pos="4513"/>
        <w:tab w:val="right" w:pos="9026"/>
      </w:tabs>
    </w:pPr>
  </w:style>
  <w:style w:type="character" w:customStyle="1" w:styleId="FooterChar">
    <w:name w:val="Footer Char"/>
    <w:basedOn w:val="DefaultParagraphFont"/>
    <w:link w:val="Footer"/>
    <w:uiPriority w:val="99"/>
    <w:rsid w:val="00544BD4"/>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1679">
      <w:bodyDiv w:val="1"/>
      <w:marLeft w:val="0"/>
      <w:marRight w:val="0"/>
      <w:marTop w:val="0"/>
      <w:marBottom w:val="0"/>
      <w:divBdr>
        <w:top w:val="none" w:sz="0" w:space="0" w:color="auto"/>
        <w:left w:val="none" w:sz="0" w:space="0" w:color="auto"/>
        <w:bottom w:val="none" w:sz="0" w:space="0" w:color="auto"/>
        <w:right w:val="none" w:sz="0" w:space="0" w:color="auto"/>
      </w:divBdr>
    </w:div>
    <w:div w:id="274873069">
      <w:bodyDiv w:val="1"/>
      <w:marLeft w:val="0"/>
      <w:marRight w:val="0"/>
      <w:marTop w:val="0"/>
      <w:marBottom w:val="0"/>
      <w:divBdr>
        <w:top w:val="none" w:sz="0" w:space="0" w:color="auto"/>
        <w:left w:val="none" w:sz="0" w:space="0" w:color="auto"/>
        <w:bottom w:val="none" w:sz="0" w:space="0" w:color="auto"/>
        <w:right w:val="none" w:sz="0" w:space="0" w:color="auto"/>
      </w:divBdr>
      <w:divsChild>
        <w:div w:id="1643848717">
          <w:marLeft w:val="288"/>
          <w:marRight w:val="0"/>
          <w:marTop w:val="120"/>
          <w:marBottom w:val="0"/>
          <w:divBdr>
            <w:top w:val="none" w:sz="0" w:space="0" w:color="auto"/>
            <w:left w:val="none" w:sz="0" w:space="0" w:color="auto"/>
            <w:bottom w:val="none" w:sz="0" w:space="0" w:color="auto"/>
            <w:right w:val="none" w:sz="0" w:space="0" w:color="auto"/>
          </w:divBdr>
        </w:div>
      </w:divsChild>
    </w:div>
    <w:div w:id="883565411">
      <w:bodyDiv w:val="1"/>
      <w:marLeft w:val="0"/>
      <w:marRight w:val="0"/>
      <w:marTop w:val="0"/>
      <w:marBottom w:val="0"/>
      <w:divBdr>
        <w:top w:val="none" w:sz="0" w:space="0" w:color="auto"/>
        <w:left w:val="none" w:sz="0" w:space="0" w:color="auto"/>
        <w:bottom w:val="none" w:sz="0" w:space="0" w:color="auto"/>
        <w:right w:val="none" w:sz="0" w:space="0" w:color="auto"/>
      </w:divBdr>
    </w:div>
    <w:div w:id="1041711653">
      <w:bodyDiv w:val="1"/>
      <w:marLeft w:val="0"/>
      <w:marRight w:val="0"/>
      <w:marTop w:val="0"/>
      <w:marBottom w:val="0"/>
      <w:divBdr>
        <w:top w:val="none" w:sz="0" w:space="0" w:color="auto"/>
        <w:left w:val="none" w:sz="0" w:space="0" w:color="auto"/>
        <w:bottom w:val="none" w:sz="0" w:space="0" w:color="auto"/>
        <w:right w:val="none" w:sz="0" w:space="0" w:color="auto"/>
      </w:divBdr>
    </w:div>
    <w:div w:id="1144859878">
      <w:bodyDiv w:val="1"/>
      <w:marLeft w:val="0"/>
      <w:marRight w:val="0"/>
      <w:marTop w:val="0"/>
      <w:marBottom w:val="0"/>
      <w:divBdr>
        <w:top w:val="none" w:sz="0" w:space="0" w:color="auto"/>
        <w:left w:val="none" w:sz="0" w:space="0" w:color="auto"/>
        <w:bottom w:val="none" w:sz="0" w:space="0" w:color="auto"/>
        <w:right w:val="none" w:sz="0" w:space="0" w:color="auto"/>
      </w:divBdr>
    </w:div>
    <w:div w:id="1314139721">
      <w:bodyDiv w:val="1"/>
      <w:marLeft w:val="0"/>
      <w:marRight w:val="0"/>
      <w:marTop w:val="0"/>
      <w:marBottom w:val="0"/>
      <w:divBdr>
        <w:top w:val="none" w:sz="0" w:space="0" w:color="auto"/>
        <w:left w:val="none" w:sz="0" w:space="0" w:color="auto"/>
        <w:bottom w:val="none" w:sz="0" w:space="0" w:color="auto"/>
        <w:right w:val="none" w:sz="0" w:space="0" w:color="auto"/>
      </w:divBdr>
    </w:div>
    <w:div w:id="1371222418">
      <w:bodyDiv w:val="1"/>
      <w:marLeft w:val="0"/>
      <w:marRight w:val="0"/>
      <w:marTop w:val="0"/>
      <w:marBottom w:val="0"/>
      <w:divBdr>
        <w:top w:val="none" w:sz="0" w:space="0" w:color="auto"/>
        <w:left w:val="none" w:sz="0" w:space="0" w:color="auto"/>
        <w:bottom w:val="none" w:sz="0" w:space="0" w:color="auto"/>
        <w:right w:val="none" w:sz="0" w:space="0" w:color="auto"/>
      </w:divBdr>
    </w:div>
    <w:div w:id="1565750695">
      <w:bodyDiv w:val="1"/>
      <w:marLeft w:val="0"/>
      <w:marRight w:val="0"/>
      <w:marTop w:val="0"/>
      <w:marBottom w:val="0"/>
      <w:divBdr>
        <w:top w:val="none" w:sz="0" w:space="0" w:color="auto"/>
        <w:left w:val="none" w:sz="0" w:space="0" w:color="auto"/>
        <w:bottom w:val="none" w:sz="0" w:space="0" w:color="auto"/>
        <w:right w:val="none" w:sz="0" w:space="0" w:color="auto"/>
      </w:divBdr>
    </w:div>
    <w:div w:id="1789742963">
      <w:bodyDiv w:val="1"/>
      <w:marLeft w:val="0"/>
      <w:marRight w:val="0"/>
      <w:marTop w:val="0"/>
      <w:marBottom w:val="0"/>
      <w:divBdr>
        <w:top w:val="none" w:sz="0" w:space="0" w:color="auto"/>
        <w:left w:val="none" w:sz="0" w:space="0" w:color="auto"/>
        <w:bottom w:val="none" w:sz="0" w:space="0" w:color="auto"/>
        <w:right w:val="none" w:sz="0" w:space="0" w:color="auto"/>
      </w:divBdr>
    </w:div>
    <w:div w:id="213871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62B368E6EFF4D80F90786B66D368A" ma:contentTypeVersion="13" ma:contentTypeDescription="Create a new document." ma:contentTypeScope="" ma:versionID="faee5eb1b2f0b64ae95b5b70180947de">
  <xsd:schema xmlns:xsd="http://www.w3.org/2001/XMLSchema" xmlns:xs="http://www.w3.org/2001/XMLSchema" xmlns:p="http://schemas.microsoft.com/office/2006/metadata/properties" xmlns:ns2="2ec045df-8ef1-4ae1-b186-c2aad03124cc" xmlns:ns3="25279804-3ef0-4efd-b33a-f24291057f55" targetNamespace="http://schemas.microsoft.com/office/2006/metadata/properties" ma:root="true" ma:fieldsID="064d7d5e9e1663c6014f91e2d60bd9ea" ns2:_="" ns3:_="">
    <xsd:import namespace="2ec045df-8ef1-4ae1-b186-c2aad03124cc"/>
    <xsd:import namespace="25279804-3ef0-4efd-b33a-f24291057f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45df-8ef1-4ae1-b186-c2aad0312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279804-3ef0-4efd-b33a-f24291057f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B22A4-564D-4D95-8ECD-9098C9ED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45df-8ef1-4ae1-b186-c2aad03124cc"/>
    <ds:schemaRef ds:uri="25279804-3ef0-4efd-b33a-f24291057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76D-3628-4911-8AE5-E9AE43C53379}">
  <ds:schemaRefs>
    <ds:schemaRef ds:uri="http://schemas.microsoft.com/sharepoint/v3/contenttype/forms"/>
  </ds:schemaRefs>
</ds:datastoreItem>
</file>

<file path=customXml/itemProps3.xml><?xml version="1.0" encoding="utf-8"?>
<ds:datastoreItem xmlns:ds="http://schemas.openxmlformats.org/officeDocument/2006/customXml" ds:itemID="{882CF886-858B-4601-AF1A-3CC309B38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Cultural and Community Services Committee - 26 May 2008 - Item 2 - AttachmentB - Aboriginal And Torres Strait Islander Advisory Panel</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Community Services Committee - 26 May 2008 - Item 2 - AttachmentB - Aboriginal And Torres Strait Islander Advisory Panel</dc:title>
  <dc:subject>Cultural and Community Services Committee - 26 May 2008 - Item 2 - AttachmentB - Aboriginal And Torres Strait Islander Advisory Panel</dc:subject>
  <dc:creator>mgibson</dc:creator>
  <cp:keywords>Cultural and Community Services Committee - 26 May 2008 - Item 2 - AttachmentB - Aboriginal And Torres Strait Islander Advisory Panel</cp:keywords>
  <cp:lastModifiedBy>Donna Elkins</cp:lastModifiedBy>
  <cp:revision>2</cp:revision>
  <cp:lastPrinted>2022-02-02T03:35:00Z</cp:lastPrinted>
  <dcterms:created xsi:type="dcterms:W3CDTF">2022-03-16T22:54:00Z</dcterms:created>
  <dcterms:modified xsi:type="dcterms:W3CDTF">2022-03-16T22:54:00Z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Aspose Ltd.</vt:lpwstr>
  </property>
  <property fmtid="{D5CDD505-2E9C-101B-9397-08002B2CF9AE}" pid="4" name="LastSaved">
    <vt:filetime>2022-01-11T00:00:00Z</vt:filetime>
  </property>
  <property fmtid="{D5CDD505-2E9C-101B-9397-08002B2CF9AE}" pid="5" name="ContentTypeId">
    <vt:lpwstr>0x01010017F62B368E6EFF4D80F90786B66D368A</vt:lpwstr>
  </property>
</Properties>
</file>